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浙江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高中数学教室装备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指导意见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</w:p>
    <w:p>
      <w:pPr>
        <w:pStyle w:val="2"/>
        <w:spacing w:before="0" w:after="0" w:line="720" w:lineRule="auto"/>
        <w:rPr>
          <w:rFonts w:ascii="黑体" w:hAnsi="黑体" w:eastAsia="黑体" w:cs="Times New Roman"/>
          <w:sz w:val="21"/>
          <w:szCs w:val="21"/>
          <w:lang w:val="zh-CN" w:eastAsia="zh-CN"/>
        </w:rPr>
      </w:pPr>
      <w:r>
        <w:rPr>
          <w:rFonts w:hint="eastAsia" w:ascii="黑体" w:hAnsi="黑体" w:eastAsia="黑体" w:cs="Times New Roman"/>
          <w:sz w:val="21"/>
          <w:szCs w:val="21"/>
          <w:lang w:val="zh-CN" w:eastAsia="zh-CN"/>
        </w:rPr>
        <w:t>1  范围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本指导意见规定</w:t>
      </w:r>
      <w:r>
        <w:rPr>
          <w:szCs w:val="21"/>
        </w:rPr>
        <w:t>了</w:t>
      </w:r>
      <w:r>
        <w:rPr>
          <w:rFonts w:hint="eastAsia"/>
          <w:szCs w:val="21"/>
        </w:rPr>
        <w:t>浙江省高中</w:t>
      </w:r>
      <w:r>
        <w:rPr>
          <w:szCs w:val="21"/>
        </w:rPr>
        <w:t>数学教室</w:t>
      </w:r>
      <w:r>
        <w:rPr>
          <w:rFonts w:hint="eastAsia"/>
          <w:szCs w:val="21"/>
        </w:rPr>
        <w:t>装备</w:t>
      </w:r>
      <w:r>
        <w:rPr>
          <w:szCs w:val="21"/>
        </w:rPr>
        <w:t>的</w:t>
      </w:r>
      <w:r>
        <w:rPr>
          <w:rFonts w:hint="eastAsia"/>
          <w:szCs w:val="21"/>
        </w:rPr>
        <w:t>基本要求，包括定义，装备</w:t>
      </w:r>
      <w:r>
        <w:rPr>
          <w:szCs w:val="21"/>
        </w:rPr>
        <w:t>价值，</w:t>
      </w:r>
      <w:r>
        <w:rPr>
          <w:rFonts w:hint="eastAsia"/>
          <w:szCs w:val="21"/>
        </w:rPr>
        <w:t>教室要求，装备内容</w:t>
      </w:r>
      <w:r>
        <w:rPr>
          <w:szCs w:val="21"/>
        </w:rPr>
        <w:t>等</w:t>
      </w:r>
      <w:r>
        <w:rPr>
          <w:rFonts w:hint="eastAsia"/>
          <w:szCs w:val="21"/>
        </w:rPr>
        <w:t>。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本指导意见适用于浙江省高中数字教室的装备。</w:t>
      </w:r>
    </w:p>
    <w:p>
      <w:pPr>
        <w:pStyle w:val="2"/>
        <w:spacing w:before="0" w:after="0" w:line="720" w:lineRule="auto"/>
        <w:rPr>
          <w:rFonts w:ascii="黑体" w:hAnsi="黑体" w:eastAsia="黑体" w:cs="Times New Roman"/>
          <w:sz w:val="21"/>
          <w:szCs w:val="21"/>
          <w:lang w:val="zh-CN" w:eastAsia="zh-CN"/>
        </w:rPr>
      </w:pPr>
      <w:r>
        <w:rPr>
          <w:rFonts w:hint="eastAsia" w:ascii="黑体" w:hAnsi="黑体" w:eastAsia="黑体" w:cs="Times New Roman"/>
          <w:sz w:val="21"/>
          <w:szCs w:val="21"/>
          <w:lang w:val="zh-CN" w:eastAsia="zh-CN"/>
        </w:rPr>
        <w:t>2  定义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高中数学教室是由多媒体设备，数字化的</w:t>
      </w:r>
      <w:r>
        <w:rPr>
          <w:szCs w:val="21"/>
        </w:rPr>
        <w:t>资源</w:t>
      </w:r>
      <w:r>
        <w:rPr>
          <w:rFonts w:hint="eastAsia"/>
          <w:szCs w:val="21"/>
        </w:rPr>
        <w:t>、</w:t>
      </w:r>
      <w:r>
        <w:rPr>
          <w:szCs w:val="21"/>
        </w:rPr>
        <w:t>课程和</w:t>
      </w:r>
      <w:r>
        <w:rPr>
          <w:rFonts w:hint="eastAsia"/>
          <w:szCs w:val="21"/>
        </w:rPr>
        <w:t>应用</w:t>
      </w:r>
      <w:r>
        <w:rPr>
          <w:szCs w:val="21"/>
        </w:rPr>
        <w:t>平台</w:t>
      </w:r>
      <w:r>
        <w:rPr>
          <w:rFonts w:hint="eastAsia"/>
          <w:szCs w:val="21"/>
        </w:rPr>
        <w:t>，</w:t>
      </w:r>
      <w:r>
        <w:rPr>
          <w:szCs w:val="21"/>
        </w:rPr>
        <w:t>以及</w:t>
      </w:r>
      <w:r>
        <w:rPr>
          <w:rFonts w:hint="eastAsia"/>
          <w:szCs w:val="21"/>
        </w:rPr>
        <w:t>数学模型和相关配套设施组成，可用于开展高中学科常规授课、公开课与精品课授课、校本课程及第二课堂教学活动、课外兴趣小组综合实践活动、数学学科教师教研活动。</w:t>
      </w:r>
    </w:p>
    <w:p>
      <w:pPr>
        <w:pStyle w:val="2"/>
        <w:spacing w:before="0" w:after="0" w:line="720" w:lineRule="auto"/>
        <w:rPr>
          <w:rFonts w:ascii="黑体" w:hAnsi="黑体" w:eastAsia="黑体" w:cs="Times New Roman"/>
          <w:sz w:val="21"/>
          <w:szCs w:val="21"/>
          <w:lang w:val="zh-CN" w:eastAsia="zh-CN"/>
        </w:rPr>
      </w:pPr>
      <w:r>
        <w:rPr>
          <w:rFonts w:hint="eastAsia" w:ascii="黑体" w:hAnsi="黑体" w:eastAsia="黑体" w:cs="Times New Roman"/>
          <w:sz w:val="21"/>
          <w:szCs w:val="21"/>
          <w:lang w:val="zh-CN" w:eastAsia="zh-CN"/>
        </w:rPr>
        <w:t>3  装备价值</w:t>
      </w:r>
    </w:p>
    <w:p>
      <w:pPr>
        <w:pStyle w:val="1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0"/>
        </w:rPr>
      </w:pPr>
      <w:r>
        <w:rPr>
          <w:rFonts w:hint="eastAsia" w:ascii="Times New Roman" w:hAnsi="Times New Roman"/>
          <w:szCs w:val="20"/>
        </w:rPr>
        <w:t>数学实验室为数学教学提供学习和研究的环境，通过</w:t>
      </w:r>
      <w:r>
        <w:rPr>
          <w:rFonts w:ascii="Times New Roman" w:hAnsi="Times New Roman"/>
          <w:szCs w:val="20"/>
        </w:rPr>
        <w:t>提供</w:t>
      </w:r>
      <w:r>
        <w:rPr>
          <w:rFonts w:hint="eastAsia" w:ascii="Times New Roman" w:hAnsi="Times New Roman"/>
          <w:szCs w:val="20"/>
        </w:rPr>
        <w:t>教研</w:t>
      </w:r>
      <w:r>
        <w:rPr>
          <w:rFonts w:ascii="Times New Roman" w:hAnsi="Times New Roman"/>
          <w:szCs w:val="20"/>
        </w:rPr>
        <w:t>平台</w:t>
      </w:r>
      <w:r>
        <w:rPr>
          <w:rFonts w:hint="eastAsia" w:ascii="Times New Roman" w:hAnsi="Times New Roman"/>
          <w:szCs w:val="20"/>
        </w:rPr>
        <w:t>、数学课程资源库、数学实验课程、配套模型</w:t>
      </w:r>
      <w:r>
        <w:rPr>
          <w:rFonts w:ascii="Times New Roman" w:hAnsi="Times New Roman"/>
          <w:szCs w:val="20"/>
        </w:rPr>
        <w:t>和软件</w:t>
      </w:r>
      <w:r>
        <w:rPr>
          <w:rFonts w:hint="eastAsia" w:ascii="Times New Roman" w:hAnsi="Times New Roman"/>
          <w:szCs w:val="20"/>
        </w:rPr>
        <w:t>，</w:t>
      </w:r>
      <w:r>
        <w:rPr>
          <w:rFonts w:ascii="Times New Roman" w:hAnsi="Times New Roman"/>
          <w:szCs w:val="20"/>
        </w:rPr>
        <w:t>以及</w:t>
      </w:r>
      <w:r>
        <w:rPr>
          <w:rFonts w:hint="eastAsia" w:ascii="Times New Roman" w:hAnsi="Times New Roman"/>
          <w:szCs w:val="20"/>
        </w:rPr>
        <w:t>数学图案、数学文化的</w:t>
      </w:r>
      <w:r>
        <w:rPr>
          <w:rFonts w:ascii="Times New Roman" w:hAnsi="Times New Roman"/>
          <w:szCs w:val="20"/>
        </w:rPr>
        <w:t>布置，</w:t>
      </w:r>
      <w:r>
        <w:rPr>
          <w:rFonts w:hint="eastAsia" w:ascii="Times New Roman" w:hAnsi="Times New Roman"/>
          <w:szCs w:val="20"/>
        </w:rPr>
        <w:t>服务学生主动进行观察、实验、猜测、验证、推理与交流等数学活动，锻炼</w:t>
      </w:r>
      <w:r>
        <w:rPr>
          <w:rFonts w:ascii="Times New Roman" w:hAnsi="Times New Roman"/>
          <w:szCs w:val="20"/>
        </w:rPr>
        <w:t>学生</w:t>
      </w:r>
      <w:r>
        <w:rPr>
          <w:rFonts w:hint="eastAsia" w:ascii="Times New Roman" w:hAnsi="Times New Roman"/>
          <w:szCs w:val="20"/>
        </w:rPr>
        <w:t>提出问题的能力、思考问题的角度、研究问题的方法，以及解决问题的勇气。</w:t>
      </w:r>
    </w:p>
    <w:p>
      <w:pPr>
        <w:pStyle w:val="1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0"/>
        </w:rPr>
      </w:pPr>
      <w:r>
        <w:rPr>
          <w:rFonts w:hint="eastAsia" w:ascii="Times New Roman" w:hAnsi="Times New Roman"/>
          <w:szCs w:val="20"/>
        </w:rPr>
        <w:t>提供符合</w:t>
      </w:r>
      <w:r>
        <w:rPr>
          <w:rFonts w:ascii="Times New Roman" w:hAnsi="Times New Roman"/>
          <w:szCs w:val="20"/>
        </w:rPr>
        <w:t>高中数学课程标准的</w:t>
      </w:r>
      <w:r>
        <w:rPr>
          <w:rFonts w:hint="eastAsia" w:ascii="Times New Roman" w:hAnsi="Times New Roman"/>
          <w:szCs w:val="20"/>
        </w:rPr>
        <w:t>数学实验课程和教材，教师</w:t>
      </w:r>
      <w:r>
        <w:rPr>
          <w:rFonts w:ascii="Times New Roman" w:hAnsi="Times New Roman"/>
          <w:szCs w:val="20"/>
        </w:rPr>
        <w:t>无需</w:t>
      </w:r>
      <w:r>
        <w:rPr>
          <w:rFonts w:hint="eastAsia" w:ascii="Times New Roman" w:hAnsi="Times New Roman"/>
          <w:szCs w:val="20"/>
        </w:rPr>
        <w:t>花费大量的时间学习技术、开发资源和设计实验，使得数学实验常态</w:t>
      </w:r>
      <w:r>
        <w:rPr>
          <w:rFonts w:ascii="Times New Roman" w:hAnsi="Times New Roman"/>
          <w:szCs w:val="20"/>
        </w:rPr>
        <w:t>化，</w:t>
      </w:r>
      <w:r>
        <w:rPr>
          <w:rFonts w:hint="eastAsia" w:ascii="Times New Roman" w:hAnsi="Times New Roman"/>
          <w:szCs w:val="20"/>
        </w:rPr>
        <w:t>提高教学效率、提升教学质量。</w:t>
      </w:r>
    </w:p>
    <w:p>
      <w:pPr>
        <w:pStyle w:val="1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0"/>
        </w:rPr>
      </w:pPr>
      <w:r>
        <w:rPr>
          <w:rFonts w:hint="eastAsia" w:ascii="Times New Roman" w:hAnsi="Times New Roman"/>
          <w:szCs w:val="20"/>
        </w:rPr>
        <w:t>利用信息技术呈现以往数学教学中难以呈现的动态数学图形，通过数学图形的变化，可体现以前在纸上无法观测到的数学原理，直观理解图形中的数学规律，突破数学教学重点和难点，帮助学生建立具体的、形象的认识，进而</w:t>
      </w:r>
      <w:r>
        <w:rPr>
          <w:rFonts w:ascii="Times New Roman" w:hAnsi="Times New Roman"/>
          <w:szCs w:val="20"/>
        </w:rPr>
        <w:t>从</w:t>
      </w:r>
      <w:r>
        <w:rPr>
          <w:rFonts w:hint="eastAsia" w:ascii="Times New Roman" w:hAnsi="Times New Roman"/>
          <w:szCs w:val="20"/>
        </w:rPr>
        <w:t>形象思维上升到抽象思维。</w:t>
      </w:r>
    </w:p>
    <w:p>
      <w:pPr>
        <w:pStyle w:val="1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0"/>
        </w:rPr>
      </w:pPr>
      <w:r>
        <w:rPr>
          <w:rFonts w:hint="eastAsia" w:ascii="Times New Roman" w:hAnsi="Times New Roman"/>
          <w:szCs w:val="20"/>
        </w:rPr>
        <w:t>从数学问题入手，帮助学生更深刻地理解数学概念，认识数学本质，逐步形成数学思想，提高</w:t>
      </w:r>
      <w:r>
        <w:rPr>
          <w:rFonts w:ascii="Times New Roman" w:hAnsi="Times New Roman"/>
          <w:szCs w:val="20"/>
        </w:rPr>
        <w:t>数学学习的效率，</w:t>
      </w:r>
      <w:r>
        <w:rPr>
          <w:rFonts w:hint="eastAsia" w:ascii="Times New Roman" w:hAnsi="Times New Roman"/>
          <w:szCs w:val="20"/>
        </w:rPr>
        <w:t>提升数学素养和数学创新的能力。</w:t>
      </w:r>
    </w:p>
    <w:p>
      <w:pPr>
        <w:pStyle w:val="1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0"/>
        </w:rPr>
      </w:pPr>
      <w:r>
        <w:rPr>
          <w:rFonts w:hint="eastAsia" w:ascii="Times New Roman" w:hAnsi="Times New Roman"/>
          <w:szCs w:val="20"/>
        </w:rPr>
        <w:t>为学生提供了一个动手创作的活动空间。在数学实验室中，作的是数学图形、用的是数学知识、玩的是数学问题，激发学生积极地思考和提出从来没考虑过的问题。锻炼</w:t>
      </w:r>
      <w:r>
        <w:rPr>
          <w:rFonts w:ascii="Times New Roman" w:hAnsi="Times New Roman"/>
          <w:szCs w:val="20"/>
        </w:rPr>
        <w:t>学生</w:t>
      </w:r>
      <w:r>
        <w:rPr>
          <w:rFonts w:hint="eastAsia" w:ascii="Times New Roman" w:hAnsi="Times New Roman"/>
          <w:szCs w:val="20"/>
        </w:rPr>
        <w:t>提出问题的能力、思考问题的角度、研究问题的方法，以及解决问题的勇气。</w:t>
      </w:r>
    </w:p>
    <w:p>
      <w:pPr>
        <w:pStyle w:val="2"/>
        <w:spacing w:before="0" w:after="0" w:line="720" w:lineRule="auto"/>
        <w:rPr>
          <w:rFonts w:ascii="黑体" w:hAnsi="黑体" w:eastAsia="黑体" w:cs="Times New Roman"/>
          <w:sz w:val="21"/>
          <w:szCs w:val="21"/>
          <w:lang w:val="zh-CN" w:eastAsia="zh-CN"/>
        </w:rPr>
      </w:pPr>
      <w:r>
        <w:rPr>
          <w:rFonts w:hint="eastAsia" w:ascii="黑体" w:hAnsi="黑体" w:eastAsia="黑体" w:cs="Times New Roman"/>
          <w:sz w:val="21"/>
          <w:szCs w:val="21"/>
          <w:lang w:val="zh-CN"/>
        </w:rPr>
        <w:t xml:space="preserve">4  </w:t>
      </w:r>
      <w:r>
        <w:rPr>
          <w:rFonts w:hint="eastAsia" w:ascii="黑体" w:hAnsi="黑体" w:eastAsia="黑体" w:cs="Times New Roman"/>
          <w:sz w:val="21"/>
          <w:szCs w:val="21"/>
          <w:lang w:val="zh-CN" w:eastAsia="zh-CN"/>
        </w:rPr>
        <w:t>教室要求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hint="eastAsia" w:ascii="黑体" w:hAnsi="黑体" w:eastAsia="黑体" w:cs="Arial"/>
          <w:b/>
          <w:szCs w:val="21"/>
        </w:rPr>
        <w:t>4.1  面积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教室面积应不小于96m</w:t>
      </w:r>
      <w:r>
        <w:rPr>
          <w:rFonts w:hint="eastAsia"/>
          <w:szCs w:val="21"/>
          <w:vertAlign w:val="superscript"/>
        </w:rPr>
        <w:t>2</w:t>
      </w:r>
      <w:r>
        <w:rPr>
          <w:rFonts w:hint="eastAsia"/>
          <w:szCs w:val="21"/>
        </w:rPr>
        <w:t>。学校可根据实际条件，按照生均面积不小于1.92 m</w:t>
      </w:r>
      <w:r>
        <w:rPr>
          <w:rFonts w:hint="eastAsia"/>
          <w:szCs w:val="21"/>
          <w:vertAlign w:val="superscript"/>
        </w:rPr>
        <w:t>2</w:t>
      </w:r>
      <w:r>
        <w:rPr>
          <w:rFonts w:hint="eastAsia"/>
          <w:szCs w:val="21"/>
        </w:rPr>
        <w:t>选择教室。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hint="eastAsia" w:ascii="黑体" w:hAnsi="黑体" w:eastAsia="黑体" w:cs="Arial"/>
          <w:b/>
          <w:szCs w:val="21"/>
        </w:rPr>
        <w:t>4.2  地面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教室与走廊的地面不宜设台阶。地面应易清洁、耐磨、防滑。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hint="eastAsia" w:ascii="黑体" w:hAnsi="黑体" w:eastAsia="黑体" w:cs="Arial"/>
          <w:b/>
          <w:szCs w:val="21"/>
        </w:rPr>
        <w:t>4.3  门窗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应设置前后门，门洞的宽度不应小于1200mm，门应向疏散方向开启，开启的门窗不得挤占走道的疏散通道。临空窗台高度不应低于900m。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hint="eastAsia" w:ascii="黑体" w:hAnsi="黑体" w:eastAsia="黑体" w:cs="Arial"/>
          <w:b/>
          <w:szCs w:val="21"/>
        </w:rPr>
        <w:t>4.4  网络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应设有2个或以上的千兆网络接口。应</w:t>
      </w:r>
      <w:r>
        <w:rPr>
          <w:szCs w:val="21"/>
        </w:rPr>
        <w:t>预留</w:t>
      </w:r>
      <w:r>
        <w:rPr>
          <w:rFonts w:hint="eastAsia"/>
          <w:szCs w:val="21"/>
        </w:rPr>
        <w:t>GPS接收装置的</w:t>
      </w:r>
      <w:r>
        <w:rPr>
          <w:szCs w:val="21"/>
        </w:rPr>
        <w:t>接入</w:t>
      </w:r>
      <w:r>
        <w:rPr>
          <w:rFonts w:hint="eastAsia"/>
          <w:szCs w:val="21"/>
        </w:rPr>
        <w:t>。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hint="eastAsia" w:ascii="黑体" w:hAnsi="黑体" w:eastAsia="黑体" w:cs="Arial"/>
          <w:b/>
          <w:szCs w:val="21"/>
        </w:rPr>
        <w:t>4.5  综合布线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szCs w:val="21"/>
        </w:rPr>
        <w:t xml:space="preserve">室内电源应设总控开关，设备系统、空调、照明和电源插座用电应分路设计和分别控制。室内的电力线和信号线敷设应按标准分开。 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hint="eastAsia" w:ascii="黑体" w:hAnsi="黑体" w:eastAsia="黑体" w:cs="Arial"/>
          <w:b/>
          <w:szCs w:val="21"/>
        </w:rPr>
        <w:t>4.6  供电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szCs w:val="21"/>
        </w:rPr>
        <w:t>教室电气线路应采用防火要求的暗敷配线方式，安装剩余电流（漏电）保护器。供电电源额定总容量（设备系统的用电容量）应不小于设备总功率的</w:t>
      </w:r>
      <w:r>
        <w:rPr>
          <w:rFonts w:hint="eastAsia"/>
          <w:szCs w:val="21"/>
        </w:rPr>
        <w:t>1.5</w:t>
      </w:r>
      <w:r>
        <w:rPr>
          <w:szCs w:val="21"/>
        </w:rPr>
        <w:t>～</w:t>
      </w:r>
      <w:r>
        <w:rPr>
          <w:rFonts w:hint="eastAsia"/>
          <w:szCs w:val="21"/>
        </w:rPr>
        <w:t>2</w:t>
      </w:r>
      <w:r>
        <w:rPr>
          <w:szCs w:val="21"/>
        </w:rPr>
        <w:t>倍。 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hint="eastAsia" w:ascii="黑体" w:hAnsi="黑体" w:eastAsia="黑体" w:cs="Arial"/>
          <w:b/>
          <w:szCs w:val="21"/>
        </w:rPr>
        <w:t>4.7  接地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教室应有可靠的保护接地线，接地电阻应不大于4Ω。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hint="eastAsia" w:ascii="黑体" w:hAnsi="黑体" w:eastAsia="黑体" w:cs="Arial"/>
          <w:b/>
          <w:szCs w:val="21"/>
        </w:rPr>
        <w:t>4.8  防雷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应备有效的防雷设施。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hint="eastAsia" w:ascii="黑体" w:hAnsi="黑体" w:eastAsia="黑体" w:cs="Arial"/>
          <w:b/>
          <w:szCs w:val="21"/>
        </w:rPr>
        <w:t>4.9  消防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应备有效的消防（防火、防潮、防盗等）设施。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hint="eastAsia" w:ascii="黑体" w:hAnsi="黑体" w:eastAsia="黑体" w:cs="Arial"/>
          <w:b/>
          <w:szCs w:val="21"/>
        </w:rPr>
        <w:t>4.10  照明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学生桌面的平均照度应符合GB 50034的有关要求，应不低于300lx，其照度均匀度不低于0.7。书写板宜设局部照明，书写板面的平均照度应符合GB 50034的有关要求，应不低于500lx，照度均匀度不低于0.7。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hint="eastAsia" w:ascii="黑体" w:hAnsi="黑体" w:eastAsia="黑体" w:cs="Arial"/>
          <w:b/>
          <w:szCs w:val="21"/>
        </w:rPr>
        <w:t>4.11  通风换气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室内换气次数要求不低于4次/h，根据室内的实际情况采取自然通风或采取各种强制性的通风措施，保持室内二氧化碳浓度低于1.5‰。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hint="eastAsia" w:ascii="黑体" w:hAnsi="黑体" w:eastAsia="黑体" w:cs="Arial"/>
          <w:b/>
          <w:szCs w:val="21"/>
        </w:rPr>
        <w:t>4.12  环保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新建、改建、扩建的专用教室，甲醛、苯、氡等有害气体和放射性污染应符合GB 18580-2001、GB 18581-2001、GB 18583-2001、GB 18584-2001标准中的限量值。</w:t>
      </w:r>
    </w:p>
    <w:p>
      <w:pPr>
        <w:pStyle w:val="2"/>
        <w:spacing w:before="0" w:after="0" w:line="720" w:lineRule="auto"/>
        <w:rPr>
          <w:rFonts w:ascii="黑体" w:hAnsi="黑体" w:eastAsia="黑体" w:cs="Times New Roman"/>
          <w:sz w:val="21"/>
          <w:szCs w:val="21"/>
          <w:lang w:val="zh-CN" w:eastAsia="zh-CN"/>
        </w:rPr>
      </w:pPr>
      <w:r>
        <w:rPr>
          <w:rFonts w:hint="eastAsia" w:ascii="黑体" w:hAnsi="黑体" w:eastAsia="黑体" w:cs="Times New Roman"/>
          <w:sz w:val="21"/>
          <w:szCs w:val="21"/>
          <w:lang w:val="zh-CN" w:eastAsia="zh-CN"/>
        </w:rPr>
        <w:t>5</w:t>
      </w:r>
      <w:r>
        <w:rPr>
          <w:rFonts w:hint="eastAsia" w:ascii="黑体" w:hAnsi="黑体" w:eastAsia="黑体" w:cs="Times New Roman"/>
          <w:sz w:val="21"/>
          <w:szCs w:val="21"/>
          <w:lang w:val="zh-CN"/>
        </w:rPr>
        <w:t xml:space="preserve"> </w:t>
      </w:r>
      <w:r>
        <w:rPr>
          <w:rFonts w:ascii="黑体" w:hAnsi="黑体" w:eastAsia="黑体" w:cs="Times New Roman"/>
          <w:sz w:val="21"/>
          <w:szCs w:val="21"/>
          <w:lang w:val="zh-CN"/>
        </w:rPr>
        <w:t xml:space="preserve"> </w:t>
      </w:r>
      <w:r>
        <w:rPr>
          <w:rFonts w:ascii="黑体" w:hAnsi="黑体" w:eastAsia="黑体" w:cs="Times New Roman"/>
          <w:sz w:val="21"/>
          <w:szCs w:val="21"/>
          <w:lang w:val="zh-CN" w:eastAsia="zh-CN"/>
        </w:rPr>
        <w:t>装备</w:t>
      </w:r>
      <w:r>
        <w:rPr>
          <w:rFonts w:hint="eastAsia" w:ascii="黑体" w:hAnsi="黑体" w:eastAsia="黑体" w:cs="Times New Roman"/>
          <w:sz w:val="21"/>
          <w:szCs w:val="21"/>
          <w:lang w:val="zh-CN" w:eastAsia="zh-CN"/>
        </w:rPr>
        <w:t>内容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高中</w:t>
      </w:r>
      <w:r>
        <w:rPr>
          <w:szCs w:val="21"/>
        </w:rPr>
        <w:t>数字</w:t>
      </w:r>
      <w:r>
        <w:rPr>
          <w:rFonts w:hint="eastAsia"/>
          <w:szCs w:val="21"/>
        </w:rPr>
        <w:t>历史</w:t>
      </w:r>
      <w:r>
        <w:rPr>
          <w:szCs w:val="21"/>
        </w:rPr>
        <w:t>教室包括</w:t>
      </w:r>
      <w:r>
        <w:rPr>
          <w:rFonts w:hint="eastAsia"/>
          <w:szCs w:val="21"/>
        </w:rPr>
        <w:t>教师</w:t>
      </w:r>
      <w:r>
        <w:rPr>
          <w:szCs w:val="21"/>
        </w:rPr>
        <w:t>讲台，</w:t>
      </w:r>
      <w:r>
        <w:rPr>
          <w:rFonts w:hint="eastAsia"/>
          <w:szCs w:val="21"/>
        </w:rPr>
        <w:t>学生</w:t>
      </w:r>
      <w:r>
        <w:rPr>
          <w:szCs w:val="21"/>
        </w:rPr>
        <w:t>桌椅</w:t>
      </w:r>
      <w:r>
        <w:rPr>
          <w:rFonts w:hint="eastAsia"/>
          <w:szCs w:val="21"/>
        </w:rPr>
        <w:t>，</w:t>
      </w:r>
      <w:r>
        <w:rPr>
          <w:szCs w:val="21"/>
        </w:rPr>
        <w:t>多媒体</w:t>
      </w:r>
      <w:r>
        <w:rPr>
          <w:rFonts w:hint="eastAsia"/>
          <w:szCs w:val="21"/>
        </w:rPr>
        <w:t>设备</w:t>
      </w:r>
      <w:r>
        <w:rPr>
          <w:szCs w:val="21"/>
        </w:rPr>
        <w:t>，教学</w:t>
      </w:r>
      <w:r>
        <w:rPr>
          <w:rFonts w:hint="eastAsia"/>
          <w:szCs w:val="21"/>
        </w:rPr>
        <w:t>软件，教学</w:t>
      </w:r>
      <w:r>
        <w:rPr>
          <w:szCs w:val="21"/>
        </w:rPr>
        <w:t>资源</w:t>
      </w:r>
      <w:r>
        <w:rPr>
          <w:rFonts w:hint="eastAsia"/>
          <w:szCs w:val="21"/>
        </w:rPr>
        <w:t>，</w:t>
      </w:r>
      <w:r>
        <w:rPr>
          <w:szCs w:val="21"/>
        </w:rPr>
        <w:t>教学空间</w:t>
      </w:r>
      <w:r>
        <w:rPr>
          <w:rFonts w:hint="eastAsia"/>
          <w:szCs w:val="21"/>
        </w:rPr>
        <w:t>和传统</w:t>
      </w:r>
      <w:r>
        <w:rPr>
          <w:szCs w:val="21"/>
        </w:rPr>
        <w:t>文化</w:t>
      </w:r>
      <w:r>
        <w:rPr>
          <w:rFonts w:hint="eastAsia"/>
          <w:szCs w:val="21"/>
        </w:rPr>
        <w:t>体验教具</w:t>
      </w:r>
      <w:r>
        <w:rPr>
          <w:szCs w:val="21"/>
        </w:rPr>
        <w:t>等。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ascii="黑体" w:hAnsi="黑体" w:eastAsia="黑体" w:cs="Arial"/>
          <w:b/>
          <w:szCs w:val="21"/>
        </w:rPr>
        <w:t>5</w:t>
      </w:r>
      <w:r>
        <w:rPr>
          <w:rFonts w:hint="eastAsia" w:ascii="黑体" w:hAnsi="黑体" w:eastAsia="黑体" w:cs="Arial"/>
          <w:b/>
          <w:szCs w:val="21"/>
        </w:rPr>
        <w:t xml:space="preserve">.1 </w:t>
      </w:r>
      <w:r>
        <w:rPr>
          <w:rFonts w:ascii="黑体" w:hAnsi="黑体" w:eastAsia="黑体" w:cs="Arial"/>
          <w:b/>
          <w:szCs w:val="21"/>
        </w:rPr>
        <w:t xml:space="preserve"> </w:t>
      </w:r>
      <w:r>
        <w:rPr>
          <w:rFonts w:hint="eastAsia" w:ascii="黑体" w:hAnsi="黑体" w:eastAsia="黑体" w:cs="Arial"/>
          <w:b/>
          <w:szCs w:val="21"/>
        </w:rPr>
        <w:t>主要设备</w:t>
      </w:r>
      <w:r>
        <w:rPr>
          <w:rFonts w:ascii="黑体" w:hAnsi="黑体" w:eastAsia="黑体" w:cs="Arial"/>
          <w:b/>
          <w:szCs w:val="21"/>
        </w:rPr>
        <w:t>介绍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hint="eastAsia" w:ascii="黑体" w:hAnsi="黑体" w:eastAsia="黑体" w:cs="Arial"/>
          <w:b/>
          <w:szCs w:val="21"/>
        </w:rPr>
        <w:t xml:space="preserve">5.1.1 </w:t>
      </w:r>
      <w:r>
        <w:rPr>
          <w:rFonts w:ascii="黑体" w:hAnsi="黑体" w:eastAsia="黑体" w:cs="Arial"/>
          <w:b/>
          <w:szCs w:val="21"/>
        </w:rPr>
        <w:t xml:space="preserve"> </w:t>
      </w:r>
      <w:r>
        <w:rPr>
          <w:rFonts w:hint="eastAsia" w:ascii="黑体" w:hAnsi="黑体" w:eastAsia="黑体" w:cs="Arial"/>
          <w:b/>
          <w:szCs w:val="21"/>
        </w:rPr>
        <w:t>立体几何模型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/>
          <w:szCs w:val="21"/>
        </w:rPr>
        <w:t>提供</w:t>
      </w:r>
      <w:r>
        <w:rPr>
          <w:szCs w:val="21"/>
        </w:rPr>
        <w:t>几何体，立方体，多面体，球，棱柱，棱锥，棱台，圆柱</w:t>
      </w:r>
      <w:r>
        <w:rPr>
          <w:rFonts w:hint="eastAsia"/>
          <w:szCs w:val="21"/>
        </w:rPr>
        <w:t>，</w:t>
      </w:r>
      <w:r>
        <w:rPr>
          <w:szCs w:val="21"/>
        </w:rPr>
        <w:t>圆锥</w:t>
      </w:r>
      <w:r>
        <w:rPr>
          <w:rFonts w:hint="eastAsia"/>
          <w:szCs w:val="21"/>
        </w:rPr>
        <w:t>等立体</w:t>
      </w:r>
      <w:r>
        <w:rPr>
          <w:szCs w:val="21"/>
        </w:rPr>
        <w:t>几何模型，</w:t>
      </w:r>
      <w:r>
        <w:rPr>
          <w:rFonts w:hint="eastAsia"/>
          <w:szCs w:val="21"/>
        </w:rPr>
        <w:t>满足几何体</w:t>
      </w:r>
      <w:r>
        <w:rPr>
          <w:szCs w:val="21"/>
        </w:rPr>
        <w:t>展开面</w:t>
      </w:r>
      <w:r>
        <w:rPr>
          <w:rFonts w:hint="eastAsia"/>
          <w:szCs w:val="21"/>
        </w:rPr>
        <w:t>、</w:t>
      </w:r>
      <w:r>
        <w:rPr>
          <w:szCs w:val="21"/>
        </w:rPr>
        <w:t>表面积、</w:t>
      </w:r>
      <w:r>
        <w:rPr>
          <w:rFonts w:hint="eastAsia"/>
          <w:szCs w:val="21"/>
        </w:rPr>
        <w:t>截面</w:t>
      </w:r>
      <w:r>
        <w:rPr>
          <w:szCs w:val="21"/>
        </w:rPr>
        <w:t>、容积</w:t>
      </w:r>
      <w:r>
        <w:rPr>
          <w:rFonts w:hint="eastAsia"/>
          <w:szCs w:val="21"/>
        </w:rPr>
        <w:t>的</w:t>
      </w:r>
      <w:r>
        <w:rPr>
          <w:szCs w:val="21"/>
        </w:rPr>
        <w:t>教学</w:t>
      </w:r>
      <w:r>
        <w:rPr>
          <w:rFonts w:hint="eastAsia"/>
          <w:szCs w:val="21"/>
        </w:rPr>
        <w:t>，实现几何体对角性、高线、中线等线条的可视化，演示空间点、线、面关系。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bookmarkStart w:id="0" w:name="_Toc510014368"/>
      <w:r>
        <w:rPr>
          <w:rFonts w:ascii="黑体" w:hAnsi="黑体" w:eastAsia="黑体" w:cs="Arial"/>
          <w:b/>
          <w:szCs w:val="21"/>
        </w:rPr>
        <w:t>5.1.</w:t>
      </w:r>
      <w:r>
        <w:rPr>
          <w:rFonts w:hint="eastAsia" w:ascii="黑体" w:hAnsi="黑体" w:eastAsia="黑体" w:cs="Arial"/>
          <w:b/>
          <w:szCs w:val="21"/>
        </w:rPr>
        <w:t>2</w:t>
      </w:r>
      <w:r>
        <w:rPr>
          <w:rFonts w:ascii="黑体" w:hAnsi="黑体" w:eastAsia="黑体" w:cs="Arial"/>
          <w:b/>
          <w:szCs w:val="21"/>
        </w:rPr>
        <w:t xml:space="preserve">  </w:t>
      </w:r>
      <w:r>
        <w:rPr>
          <w:rFonts w:hint="eastAsia" w:ascii="黑体" w:hAnsi="黑体" w:eastAsia="黑体" w:cs="Arial"/>
          <w:b/>
          <w:szCs w:val="21"/>
        </w:rPr>
        <w:t>模块</w:t>
      </w:r>
      <w:r>
        <w:rPr>
          <w:rFonts w:ascii="黑体" w:hAnsi="黑体" w:eastAsia="黑体" w:cs="Arial"/>
          <w:b/>
          <w:szCs w:val="21"/>
        </w:rPr>
        <w:t>化</w:t>
      </w:r>
      <w:r>
        <w:rPr>
          <w:rFonts w:hint="eastAsia" w:ascii="黑体" w:hAnsi="黑体" w:eastAsia="黑体" w:cs="Arial"/>
          <w:b/>
          <w:szCs w:val="21"/>
        </w:rPr>
        <w:t>几何模型模型</w:t>
      </w:r>
      <w:bookmarkEnd w:id="0"/>
    </w:p>
    <w:p>
      <w:pPr>
        <w:spacing w:line="360" w:lineRule="auto"/>
        <w:ind w:firstLine="420" w:firstLineChars="200"/>
      </w:pPr>
      <w:r>
        <w:rPr>
          <w:rFonts w:hint="eastAsia"/>
          <w:szCs w:val="21"/>
        </w:rPr>
        <w:t>采用</w:t>
      </w:r>
      <w:r>
        <w:rPr>
          <w:szCs w:val="21"/>
        </w:rPr>
        <w:t>模块化</w:t>
      </w:r>
      <w:r>
        <w:rPr>
          <w:rFonts w:hint="eastAsia"/>
          <w:szCs w:val="21"/>
        </w:rPr>
        <w:t>的</w:t>
      </w:r>
      <w:r>
        <w:rPr>
          <w:szCs w:val="21"/>
        </w:rPr>
        <w:t>设计，提供等边三角形</w:t>
      </w:r>
      <w:r>
        <w:rPr>
          <w:rFonts w:hint="eastAsia"/>
          <w:szCs w:val="21"/>
        </w:rPr>
        <w:t>、</w:t>
      </w:r>
      <w:r>
        <w:rPr>
          <w:szCs w:val="21"/>
        </w:rPr>
        <w:t>等腰三角形、正方形、长方形、五边形</w:t>
      </w:r>
      <w:r>
        <w:rPr>
          <w:rFonts w:hint="eastAsia"/>
          <w:szCs w:val="21"/>
        </w:rPr>
        <w:t>等</w:t>
      </w:r>
      <w:r>
        <w:rPr>
          <w:szCs w:val="21"/>
        </w:rPr>
        <w:t>标准化组件</w:t>
      </w:r>
      <w:r>
        <w:rPr>
          <w:rFonts w:hint="eastAsia"/>
          <w:szCs w:val="21"/>
        </w:rPr>
        <w:t>，</w:t>
      </w:r>
      <w:r>
        <w:rPr>
          <w:szCs w:val="21"/>
        </w:rPr>
        <w:t>能</w:t>
      </w:r>
      <w:r>
        <w:rPr>
          <w:rFonts w:hint="eastAsia"/>
          <w:szCs w:val="21"/>
        </w:rPr>
        <w:t>自主</w:t>
      </w:r>
      <w:r>
        <w:rPr>
          <w:szCs w:val="21"/>
        </w:rPr>
        <w:t>构建起正多面体、棱柱和反棱柱、棱锥和双棱锥、棱台以及组合体等多种立体几何体模型</w:t>
      </w:r>
      <w:r>
        <w:rPr>
          <w:rFonts w:hint="eastAsia"/>
          <w:szCs w:val="21"/>
        </w:rPr>
        <w:t>。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bookmarkStart w:id="1" w:name="_Toc510014370"/>
      <w:r>
        <w:rPr>
          <w:rFonts w:ascii="黑体" w:hAnsi="黑体" w:eastAsia="黑体" w:cs="Arial"/>
          <w:b/>
          <w:szCs w:val="21"/>
        </w:rPr>
        <w:t>5.1.</w:t>
      </w:r>
      <w:r>
        <w:rPr>
          <w:rFonts w:hint="eastAsia" w:ascii="黑体" w:hAnsi="黑体" w:eastAsia="黑体" w:cs="Arial"/>
          <w:b/>
          <w:szCs w:val="21"/>
        </w:rPr>
        <w:t>3</w:t>
      </w:r>
      <w:r>
        <w:rPr>
          <w:rFonts w:ascii="黑体" w:hAnsi="黑体" w:eastAsia="黑体" w:cs="Arial"/>
          <w:b/>
          <w:szCs w:val="21"/>
        </w:rPr>
        <w:t xml:space="preserve">  </w:t>
      </w:r>
      <w:r>
        <w:rPr>
          <w:rFonts w:hint="eastAsia" w:ascii="黑体" w:hAnsi="黑体" w:eastAsia="黑体" w:cs="Arial"/>
          <w:b/>
          <w:szCs w:val="21"/>
        </w:rPr>
        <w:t>几何模型教学系统</w:t>
      </w:r>
      <w:bookmarkEnd w:id="1"/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利用三维技术，服务教师进行立体几何教学和学生自主性学习。</w:t>
      </w:r>
      <w:r>
        <w:rPr>
          <w:szCs w:val="21"/>
        </w:rPr>
        <w:t> </w:t>
      </w:r>
      <w:r>
        <w:rPr>
          <w:rFonts w:hint="eastAsia"/>
          <w:szCs w:val="21"/>
        </w:rPr>
        <w:t>内容</w:t>
      </w:r>
      <w:r>
        <w:rPr>
          <w:szCs w:val="21"/>
        </w:rPr>
        <w:t>包括</w:t>
      </w:r>
      <w:r>
        <w:rPr>
          <w:rFonts w:hint="eastAsia"/>
          <w:szCs w:val="21"/>
        </w:rPr>
        <w:t>空间点、线、面关系、几何体、容积和体积、正方体及多面体、棱柱、棱锥、圆柱、圆锥、球、旋转模型等立体几何教学内容。</w:t>
      </w:r>
    </w:p>
    <w:p>
      <w:pPr>
        <w:spacing w:line="360" w:lineRule="auto"/>
        <w:ind w:firstLine="420" w:firstLineChars="200"/>
      </w:pPr>
      <w:r>
        <w:rPr>
          <w:rFonts w:hint="eastAsia"/>
          <w:szCs w:val="21"/>
        </w:rPr>
        <w:t>提供三维旋转观察，可以将几何体进行三维旋转，从各个角度去观察几何体或者空间关系。提供几何体的表面展开和复原；提供平面截取几何体的过程和截面形状；显示或者隐藏几何体的对角线、高线等常用辅助线；提供几何体的相接、相切及组合关系，</w:t>
      </w:r>
      <w:r>
        <w:rPr>
          <w:szCs w:val="21"/>
        </w:rPr>
        <w:t>以及</w:t>
      </w:r>
      <w:r>
        <w:rPr>
          <w:rFonts w:hint="eastAsia"/>
          <w:szCs w:val="21"/>
        </w:rPr>
        <w:t>容积和体积的测量与探。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hint="eastAsia" w:ascii="黑体" w:hAnsi="黑体" w:eastAsia="黑体" w:cs="Arial"/>
          <w:b/>
          <w:szCs w:val="21"/>
        </w:rPr>
        <w:t>5.1.4</w:t>
      </w:r>
      <w:r>
        <w:rPr>
          <w:rFonts w:ascii="黑体" w:hAnsi="黑体" w:eastAsia="黑体" w:cs="Arial"/>
          <w:b/>
          <w:szCs w:val="21"/>
        </w:rPr>
        <w:t xml:space="preserve">  </w:t>
      </w:r>
      <w:r>
        <w:rPr>
          <w:rFonts w:hint="eastAsia" w:ascii="黑体" w:hAnsi="黑体" w:eastAsia="黑体" w:cs="Arial"/>
          <w:b/>
          <w:szCs w:val="21"/>
        </w:rPr>
        <w:t>数学教育资源库</w:t>
      </w:r>
    </w:p>
    <w:p>
      <w:pPr>
        <w:spacing w:line="360" w:lineRule="auto"/>
        <w:ind w:firstLine="420" w:firstLineChars="200"/>
      </w:pPr>
      <w:bookmarkStart w:id="2" w:name="RANGE!D8"/>
      <w:r>
        <w:rPr>
          <w:rFonts w:hint="eastAsia"/>
          <w:szCs w:val="21"/>
        </w:rPr>
        <w:t>运用多媒体技术，提供图片、资料、视频、动画及游戏，把数学和现实联系起来，展示数学文化形象，解决抽象数学问题。内容包括</w:t>
      </w:r>
      <w:bookmarkEnd w:id="2"/>
      <w:r>
        <w:rPr>
          <w:rFonts w:hint="eastAsia"/>
          <w:szCs w:val="21"/>
        </w:rPr>
        <w:t>中国古代数学、现代数学、世界数学发展史的</w:t>
      </w:r>
      <w:r>
        <w:rPr>
          <w:szCs w:val="21"/>
        </w:rPr>
        <w:t>教学资料，</w:t>
      </w:r>
      <w:r>
        <w:rPr>
          <w:rFonts w:hint="eastAsia"/>
          <w:szCs w:val="21"/>
        </w:rPr>
        <w:t>数学在自然、艺术、设计等方面数学资源</w:t>
      </w:r>
      <w:r>
        <w:rPr>
          <w:szCs w:val="21"/>
        </w:rPr>
        <w:t>，</w:t>
      </w:r>
      <w:r>
        <w:rPr>
          <w:rFonts w:hint="eastAsia"/>
          <w:szCs w:val="21"/>
        </w:rPr>
        <w:t>数学在生活、百科、科技等方面的应用案例</w:t>
      </w:r>
      <w:r>
        <w:rPr>
          <w:szCs w:val="21"/>
        </w:rPr>
        <w:t>，</w:t>
      </w:r>
      <w:r>
        <w:rPr>
          <w:rFonts w:hint="eastAsia"/>
          <w:szCs w:val="21"/>
        </w:rPr>
        <w:t>以及几何、代数等部分问题的</w:t>
      </w:r>
      <w:r>
        <w:rPr>
          <w:szCs w:val="21"/>
        </w:rPr>
        <w:t>动画资源</w:t>
      </w:r>
      <w:r>
        <w:rPr>
          <w:rFonts w:hint="eastAsia"/>
          <w:szCs w:val="21"/>
        </w:rPr>
        <w:t>。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hint="eastAsia" w:ascii="黑体" w:hAnsi="黑体" w:eastAsia="黑体" w:cs="Arial"/>
          <w:b/>
          <w:szCs w:val="21"/>
        </w:rPr>
        <w:t>5.1.5</w:t>
      </w:r>
      <w:r>
        <w:rPr>
          <w:rFonts w:ascii="黑体" w:hAnsi="黑体" w:eastAsia="黑体" w:cs="Arial"/>
          <w:b/>
          <w:szCs w:val="21"/>
        </w:rPr>
        <w:t xml:space="preserve">  </w:t>
      </w:r>
      <w:r>
        <w:rPr>
          <w:rFonts w:hint="eastAsia" w:ascii="黑体" w:hAnsi="黑体" w:eastAsia="黑体" w:cs="Arial"/>
          <w:b/>
          <w:szCs w:val="21"/>
        </w:rPr>
        <w:t>数学教学资源课程包</w:t>
      </w:r>
    </w:p>
    <w:p>
      <w:pPr>
        <w:spacing w:line="360" w:lineRule="auto"/>
        <w:ind w:firstLine="420" w:firstLineChars="200"/>
      </w:pPr>
      <w:r>
        <w:rPr>
          <w:rFonts w:hint="eastAsia"/>
          <w:szCs w:val="21"/>
        </w:rPr>
        <w:t>课程</w:t>
      </w:r>
      <w:r>
        <w:rPr>
          <w:szCs w:val="21"/>
        </w:rPr>
        <w:t>内容包括</w:t>
      </w:r>
      <w:r>
        <w:rPr>
          <w:rFonts w:hint="eastAsia"/>
          <w:szCs w:val="21"/>
        </w:rPr>
        <w:t>集合关系、定义域、作图像、分段图像、阶梯图像、单调性、奇偶性、一次函数、二次函数、函数应用、函数零点、指数函数、对数函数指、对关系、幂函数性质与作图、幂函数作图练习、用函数解二次不等式框图举例、循环结构举例、三元一次方程组的消元、回归直线、掷币实验、掷色子实验、水池中的海豚、几何概型求圆周率、向量的概念、向量的加法、平面向量基本定理、平面向量的坐标运算</w:t>
      </w:r>
      <w:r>
        <w:rPr>
          <w:szCs w:val="21"/>
        </w:rPr>
        <w:t>(减法)、数列的图像折纸与抛物线定义、求轨迹与椭圆,双曲线定义、两点距离和点线距离、直线的倾角和斜率、三点共线和三线共点、曲线交点及对称性、圆锥曲线上</w:t>
      </w:r>
      <w:r>
        <w:rPr>
          <w:rFonts w:hint="eastAsia"/>
          <w:szCs w:val="21"/>
        </w:rPr>
        <w:t>点的几何特征、解析几何的基本方法、曲线与方程小结、圆锥曲线与直线位置关系、坐标轴平移</w:t>
      </w:r>
      <w:r>
        <w:rPr>
          <w:szCs w:val="21"/>
        </w:rPr>
        <w:t>(选学)、J-A112极坐标方程(选学)、参数方程(选学) 面动成体、线面关系、异面直线、几何体举例、正多面体、棱柱性质、常见四棱柱、棱锥，棱台、正棱锥，台、圆柱，锥，台、球、生成旋转体、三棱锥的体积不共线三点确定一个平面、点线面体、观察长方体中的线线线面平行垂直关系、几何体及动态直观图、空间两点间的距离、空间中的八个卦限、棱柱，直棱柱，正棱柱、平行投影，直观图、平面与平面垂直的概念，判定、平面与平面平行判定，性质、平面直角</w:t>
      </w:r>
      <w:r>
        <w:rPr>
          <w:rFonts w:hint="eastAsia"/>
          <w:szCs w:val="21"/>
        </w:rPr>
        <w:t>坐标系、三视图、图、向量加法运算、旋转面，旋转体的生成、一个轨迹问题、异面直线实例、圆柱，圆锥侧面展开图、正方体的截面、直线的斜率、直线与平面垂直的概念、直线与平面垂直的判定、直线与平面平行判定、直线与平面平行性质、中心投影，平行投影，正投影、祖暅原理、作图空间向量的分解、离心率和圆锥曲线的关系、平面截圆柱面示意图、平面截锥面示意图、求向量的和与差、球的投影、探究角最小问题、通过探求轨迹研究抛物线的定义、通过探求轨迹研究椭圆和双曲线的定义、斜线和摄影、圆锥曲线和直线的关系、直线与方程小结。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hint="eastAsia" w:ascii="黑体" w:hAnsi="黑体" w:eastAsia="黑体" w:cs="Arial"/>
          <w:b/>
          <w:szCs w:val="21"/>
        </w:rPr>
        <w:t>5.1.</w:t>
      </w:r>
      <w:r>
        <w:rPr>
          <w:rFonts w:ascii="黑体" w:hAnsi="黑体" w:eastAsia="黑体" w:cs="Arial"/>
          <w:b/>
          <w:szCs w:val="21"/>
        </w:rPr>
        <w:t>6</w:t>
      </w:r>
      <w:r>
        <w:rPr>
          <w:rFonts w:hint="eastAsia" w:ascii="黑体" w:hAnsi="黑体" w:eastAsia="黑体" w:cs="Arial"/>
          <w:b/>
          <w:szCs w:val="21"/>
        </w:rPr>
        <w:t xml:space="preserve"> </w:t>
      </w:r>
      <w:r>
        <w:rPr>
          <w:rFonts w:ascii="黑体" w:hAnsi="黑体" w:eastAsia="黑体" w:cs="Arial"/>
          <w:b/>
          <w:szCs w:val="21"/>
        </w:rPr>
        <w:t xml:space="preserve"> </w:t>
      </w:r>
      <w:r>
        <w:rPr>
          <w:rFonts w:hint="eastAsia" w:ascii="黑体" w:hAnsi="黑体" w:eastAsia="黑体" w:cs="Arial"/>
          <w:b/>
          <w:szCs w:val="21"/>
        </w:rPr>
        <w:t>中学数学探究活动课程</w:t>
      </w:r>
    </w:p>
    <w:p>
      <w:pPr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借助数学软件探</w:t>
      </w:r>
      <w:bookmarkStart w:id="4" w:name="_GoBack"/>
      <w:bookmarkEnd w:id="4"/>
      <w:r>
        <w:rPr>
          <w:rFonts w:hint="eastAsia" w:asciiTheme="minorEastAsia" w:hAnsiTheme="minorEastAsia" w:eastAsiaTheme="minorEastAsia" w:cstheme="minorEastAsia"/>
          <w:szCs w:val="21"/>
        </w:rPr>
        <w:t>究数学问题。课程内容包括</w:t>
      </w:r>
    </w:p>
    <w:p>
      <w:pPr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（1）《图像的对称性》“直角坐标平面内几种常见的对称关系”“函数图像的对称性（复习奇、偶函数的性质）”“函数图像的对称性（练习）”“两函数图像的对称”“结论与答案”“同样研究坐标平面内图形的三种常用对称性”。</w:t>
      </w:r>
    </w:p>
    <w:p>
      <w:pPr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（2）《作椭圆切线》 “探究圆和椭圆的关系”“探究圆和椭圆切线方面有否类似性质”“研究证明关于椭圆切线的猜想”“性质指导作图、了解光学性质、学习小结”。</w:t>
      </w:r>
    </w:p>
    <w:p>
      <w:pPr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（3）《抛物线、双曲线上一点处的切线》“复习椭圆上P点处切线的尺规作法，探究抛物线、双曲线上P点处切线作法”“探究抛物线上P点处切线的尺规做法”“探究双曲线上P点处切线的尺规做法”“抛物线上P点处切线的尺规做法及证明思路”“双曲线上P点处切线的尺规做法及证明思路”。</w:t>
      </w:r>
    </w:p>
    <w:p>
      <w:pPr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（4）《对勾函数是双曲线吗？》“用双曲线定义判断对勾函数的图像是否是双曲线”“用标准方程判断对勾函数的图像是否是双曲线”“用本页图形与你所做图形比对，并把你的图形的草图画在实验报告上”“用圆锥曲线统一定义判断对勾函数的图像是否是双曲线（选学）”“用转轴公式判断对勾函数的图像是否是双曲线（补充）”.</w:t>
      </w:r>
    </w:p>
    <w:p>
      <w:pPr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（5）《以抛物线焦点弦为直径的圆》“观察以一条抛物线的焦点弦为直径的圆”“以一条抛物线的焦点弦为直径的圆”。</w:t>
      </w:r>
    </w:p>
    <w:p>
      <w:pPr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（6）《以椭圆、双曲线的焦点弦为直径的圆》 “观察以椭圆中过一焦点的弦为直径的圆”“以椭圆中过一焦点的弦为直径的圆” “观察以双曲线截过一焦点的直线所得线段为直径的圆”“双曲线截过一焦点的直线所得线段为直径的圆” 。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hint="eastAsia" w:ascii="黑体" w:hAnsi="黑体" w:eastAsia="黑体" w:cs="Arial"/>
          <w:b/>
          <w:szCs w:val="21"/>
        </w:rPr>
        <w:t>5.1.7</w:t>
      </w:r>
      <w:bookmarkStart w:id="3" w:name="_Toc510014376"/>
      <w:r>
        <w:rPr>
          <w:rFonts w:ascii="黑体" w:hAnsi="黑体" w:eastAsia="黑体" w:cs="Arial"/>
          <w:b/>
          <w:szCs w:val="21"/>
        </w:rPr>
        <w:t xml:space="preserve">  </w:t>
      </w:r>
      <w:r>
        <w:rPr>
          <w:rFonts w:hint="eastAsia" w:ascii="黑体" w:hAnsi="黑体" w:eastAsia="黑体" w:cs="Arial"/>
          <w:b/>
          <w:szCs w:val="21"/>
        </w:rPr>
        <w:t>三维重力博弈棋盘</w:t>
      </w:r>
      <w:bookmarkEnd w:id="3"/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通过体验式活动教学游戏，培养青少年的数理逻辑、博弈思维、团队合作、独立思考、创新、自定义及设计、沟通表达等综合能力。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hint="eastAsia" w:ascii="黑体" w:hAnsi="黑体" w:eastAsia="黑体" w:cs="Arial"/>
          <w:b/>
          <w:szCs w:val="21"/>
        </w:rPr>
        <w:t>5</w:t>
      </w:r>
      <w:r>
        <w:rPr>
          <w:rFonts w:ascii="黑体" w:hAnsi="黑体" w:eastAsia="黑体" w:cs="Arial"/>
          <w:b/>
          <w:szCs w:val="21"/>
        </w:rPr>
        <w:t xml:space="preserve">.1.8 </w:t>
      </w:r>
      <w:r>
        <w:rPr>
          <w:rFonts w:hint="eastAsia" w:ascii="黑体" w:hAnsi="黑体" w:eastAsia="黑体" w:cs="Arial"/>
          <w:b/>
          <w:szCs w:val="21"/>
        </w:rPr>
        <w:t>图形</w:t>
      </w:r>
      <w:r>
        <w:rPr>
          <w:rFonts w:ascii="黑体" w:hAnsi="黑体" w:eastAsia="黑体" w:cs="Arial"/>
          <w:b/>
          <w:szCs w:val="21"/>
        </w:rPr>
        <w:t>计算器</w:t>
      </w:r>
    </w:p>
    <w:p>
      <w:pPr>
        <w:spacing w:line="360" w:lineRule="auto"/>
        <w:ind w:firstLine="420" w:firstLineChars="200"/>
      </w:pPr>
      <w:r>
        <w:rPr>
          <w:rFonts w:hint="eastAsia"/>
          <w:szCs w:val="21"/>
        </w:rPr>
        <w:t>包括函数、数列、参数、几何、极坐标、求解器、探索器、电子表格、矩阵、列表、程序等功能。可绘制X-Y平面的任何表达式，可导入图片，并可在多个app中对导入的图片进行分析。对函数图像进行缩放，函数表达式可随之变化。</w:t>
      </w:r>
    </w:p>
    <w:p>
      <w:pPr>
        <w:pStyle w:val="12"/>
        <w:spacing w:line="480" w:lineRule="auto"/>
        <w:ind w:firstLine="0" w:firstLineChars="0"/>
        <w:outlineLvl w:val="1"/>
        <w:rPr>
          <w:rFonts w:ascii="黑体" w:hAnsi="黑体" w:eastAsia="黑体" w:cs="Arial"/>
          <w:b/>
          <w:szCs w:val="21"/>
        </w:rPr>
      </w:pPr>
      <w:r>
        <w:rPr>
          <w:rFonts w:hint="eastAsia" w:ascii="黑体" w:hAnsi="黑体" w:eastAsia="黑体" w:cs="Arial"/>
          <w:b/>
          <w:szCs w:val="21"/>
        </w:rPr>
        <w:t>5.2</w:t>
      </w:r>
      <w:r>
        <w:rPr>
          <w:rFonts w:ascii="黑体" w:hAnsi="黑体" w:eastAsia="黑体" w:cs="Arial"/>
          <w:b/>
          <w:szCs w:val="21"/>
        </w:rPr>
        <w:t xml:space="preserve">  </w:t>
      </w:r>
      <w:r>
        <w:rPr>
          <w:rFonts w:hint="eastAsia" w:ascii="黑体" w:hAnsi="黑体" w:eastAsia="黑体" w:cs="Arial"/>
          <w:b/>
          <w:szCs w:val="21"/>
        </w:rPr>
        <w:t>数学</w:t>
      </w:r>
      <w:r>
        <w:rPr>
          <w:rFonts w:ascii="黑体" w:hAnsi="黑体" w:eastAsia="黑体" w:cs="Arial"/>
          <w:b/>
          <w:szCs w:val="21"/>
        </w:rPr>
        <w:t>教室</w:t>
      </w:r>
      <w:r>
        <w:rPr>
          <w:rFonts w:hint="eastAsia" w:ascii="黑体" w:hAnsi="黑体" w:eastAsia="黑体" w:cs="Arial"/>
          <w:b/>
          <w:szCs w:val="21"/>
        </w:rPr>
        <w:t>配备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数学</w:t>
      </w:r>
      <w:r>
        <w:rPr>
          <w:szCs w:val="21"/>
        </w:rPr>
        <w:t>教室配备专业教学的设备</w:t>
      </w:r>
      <w:r>
        <w:rPr>
          <w:rFonts w:hint="eastAsia"/>
          <w:szCs w:val="21"/>
        </w:rPr>
        <w:t>、</w:t>
      </w:r>
      <w:r>
        <w:rPr>
          <w:szCs w:val="21"/>
        </w:rPr>
        <w:t>软件及课程资源</w:t>
      </w:r>
      <w:r>
        <w:rPr>
          <w:rFonts w:hint="eastAsia"/>
          <w:szCs w:val="21"/>
        </w:rPr>
        <w:t>、</w:t>
      </w:r>
      <w:r>
        <w:rPr>
          <w:szCs w:val="21"/>
        </w:rPr>
        <w:t>探究活动</w:t>
      </w:r>
      <w:r>
        <w:rPr>
          <w:rFonts w:hint="eastAsia"/>
          <w:szCs w:val="21"/>
        </w:rPr>
        <w:t>的</w:t>
      </w:r>
      <w:r>
        <w:rPr>
          <w:szCs w:val="21"/>
        </w:rPr>
        <w:t>教具</w:t>
      </w:r>
      <w:r>
        <w:rPr>
          <w:rFonts w:hint="eastAsia"/>
          <w:szCs w:val="21"/>
        </w:rPr>
        <w:t>、</w:t>
      </w:r>
      <w:r>
        <w:rPr>
          <w:szCs w:val="21"/>
        </w:rPr>
        <w:t>教学管理软件</w:t>
      </w:r>
      <w:r>
        <w:rPr>
          <w:rFonts w:hint="eastAsia"/>
          <w:szCs w:val="21"/>
        </w:rPr>
        <w:t>，</w:t>
      </w:r>
      <w:r>
        <w:rPr>
          <w:szCs w:val="21"/>
        </w:rPr>
        <w:t>符合数学学科特点的室内文化装饰</w:t>
      </w:r>
      <w:r>
        <w:rPr>
          <w:rFonts w:hint="eastAsia"/>
          <w:szCs w:val="21"/>
        </w:rPr>
        <w:t>。师生使用的平板电脑为载体，内置高中适用的各项数学软件及课程资源，通过无线互联、推送传输等智能功能，将抽象的数学知识数字化呈现出来。配</w:t>
      </w:r>
      <w:r>
        <w:rPr>
          <w:szCs w:val="21"/>
        </w:rPr>
        <w:t>套</w:t>
      </w:r>
      <w:r>
        <w:rPr>
          <w:rFonts w:hint="eastAsia"/>
          <w:szCs w:val="21"/>
        </w:rPr>
        <w:t>几何及思维训练的实体教具，满足数学教学需要的各项需求。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以</w:t>
      </w:r>
      <w:r>
        <w:rPr>
          <w:szCs w:val="21"/>
        </w:rPr>
        <w:t>54</w:t>
      </w:r>
      <w:r>
        <w:rPr>
          <w:rFonts w:hint="eastAsia"/>
          <w:szCs w:val="21"/>
        </w:rPr>
        <w:t>名</w:t>
      </w:r>
      <w:r>
        <w:rPr>
          <w:szCs w:val="21"/>
        </w:rPr>
        <w:t>学生的教室为例，</w:t>
      </w:r>
      <w:r>
        <w:rPr>
          <w:rFonts w:hint="eastAsia"/>
          <w:szCs w:val="21"/>
        </w:rPr>
        <w:t>其设备配备要求见表  加入图形计算器</w:t>
      </w:r>
    </w:p>
    <w:tbl>
      <w:tblPr>
        <w:tblStyle w:val="9"/>
        <w:tblW w:w="82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356"/>
        <w:gridCol w:w="4309"/>
        <w:gridCol w:w="949"/>
        <w:gridCol w:w="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4"/>
              </w:rPr>
            </w:pPr>
            <w:r>
              <w:rPr>
                <w:rFonts w:hint="eastAsia" w:ascii="黑体" w:hAnsi="黑体" w:eastAsia="黑体"/>
                <w:b/>
                <w:szCs w:val="24"/>
              </w:rPr>
              <w:t>序号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4"/>
              </w:rPr>
            </w:pPr>
            <w:r>
              <w:rPr>
                <w:rFonts w:hint="eastAsia" w:ascii="黑体" w:hAnsi="黑体" w:eastAsia="黑体"/>
                <w:b/>
                <w:szCs w:val="24"/>
              </w:rPr>
              <w:t>产品名称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4"/>
              </w:rPr>
            </w:pPr>
            <w:r>
              <w:rPr>
                <w:rFonts w:hint="eastAsia" w:ascii="黑体" w:hAnsi="黑体" w:eastAsia="黑体"/>
                <w:b/>
                <w:szCs w:val="24"/>
              </w:rPr>
              <w:t>技术参数</w:t>
            </w:r>
          </w:p>
        </w:tc>
        <w:tc>
          <w:tcPr>
            <w:tcW w:w="949" w:type="dxa"/>
          </w:tcPr>
          <w:p>
            <w:pPr>
              <w:jc w:val="center"/>
              <w:rPr>
                <w:rFonts w:ascii="黑体" w:hAnsi="黑体" w:eastAsia="黑体"/>
                <w:b/>
                <w:szCs w:val="24"/>
              </w:rPr>
            </w:pPr>
            <w:r>
              <w:rPr>
                <w:rFonts w:hint="eastAsia" w:ascii="黑体" w:hAnsi="黑体" w:eastAsia="黑体"/>
                <w:b/>
                <w:szCs w:val="24"/>
              </w:rPr>
              <w:t>单位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4"/>
              </w:rPr>
            </w:pPr>
            <w:r>
              <w:rPr>
                <w:rFonts w:hint="eastAsia" w:ascii="黑体" w:hAnsi="黑体" w:eastAsia="黑体"/>
                <w:b/>
                <w:szCs w:val="24"/>
              </w:rPr>
              <w:t>配备数量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5"/>
            <w:shd w:val="clear" w:color="auto" w:fill="auto"/>
            <w:vAlign w:val="center"/>
          </w:tcPr>
          <w:p>
            <w:pPr>
              <w:jc w:val="left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一</w:t>
            </w:r>
            <w:r>
              <w:rPr>
                <w:rFonts w:ascii="黑体" w:hAnsi="黑体" w:eastAsia="黑体"/>
                <w:b/>
                <w:sz w:val="24"/>
                <w:szCs w:val="24"/>
              </w:rPr>
              <w:t>、</w:t>
            </w: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基础设施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教师讲台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多媒体</w:t>
            </w:r>
            <w:r>
              <w:t>讲台，</w:t>
            </w:r>
            <w:r>
              <w:rPr>
                <w:rFonts w:hint="eastAsia"/>
              </w:rPr>
              <w:t>能放置</w:t>
            </w:r>
            <w:r>
              <w:t>计算机，中控，功放</w:t>
            </w:r>
            <w:r>
              <w:rPr>
                <w:rFonts w:hint="eastAsia"/>
              </w:rPr>
              <w:t>等</w:t>
            </w:r>
            <w:r>
              <w:t>设备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学生桌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三面探究桌，满足9名高中生三面就座，中间位置有键盘挂架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张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升降圆凳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五爪升降圆凳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张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仪器柜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陈列</w:t>
            </w:r>
            <w:r>
              <w:t>立体几何模型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5"/>
            <w:shd w:val="clear" w:color="auto" w:fill="auto"/>
            <w:vAlign w:val="center"/>
          </w:tcPr>
          <w:p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二</w:t>
            </w:r>
            <w:r>
              <w:rPr>
                <w:rFonts w:ascii="黑体" w:hAnsi="黑体" w:eastAsia="黑体"/>
                <w:b/>
                <w:sz w:val="24"/>
                <w:szCs w:val="24"/>
              </w:rPr>
              <w:t>、</w:t>
            </w: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多媒体</w:t>
            </w:r>
            <w:r>
              <w:rPr>
                <w:rFonts w:ascii="黑体" w:hAnsi="黑体" w:eastAsia="黑体"/>
                <w:b/>
                <w:sz w:val="24"/>
                <w:szCs w:val="24"/>
              </w:rPr>
              <w:t>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5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计算机（教师用）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性能</w:t>
            </w:r>
            <w:r>
              <w:t>不低于</w:t>
            </w:r>
            <w:r>
              <w:rPr>
                <w:rFonts w:hint="eastAsia"/>
              </w:rPr>
              <w:t>CPU I5，8G内存，1T硬盘，双输出显卡，1个HDMI转DP转接头，21寸液晶显示器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6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多媒体中控系统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内置VGA切换分配器，支持台式电脑、手提电脑、数字展台输入；内置音频输入</w:t>
            </w:r>
            <w:r>
              <w:t>输出</w:t>
            </w:r>
            <w:r>
              <w:rPr>
                <w:rFonts w:hint="eastAsia"/>
              </w:rPr>
              <w:t>接口；面板有</w:t>
            </w:r>
            <w:r>
              <w:t>各设备</w:t>
            </w:r>
            <w:r>
              <w:rPr>
                <w:rFonts w:hint="eastAsia"/>
              </w:rPr>
              <w:t>开关按键控制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7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功放系统及音箱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功放支持3路话筒和2路音频输入，1路输出；吸顶音箱1个；</w:t>
            </w:r>
            <w:r>
              <w:t>无线话筒</w:t>
            </w:r>
            <w:r>
              <w:rPr>
                <w:rFonts w:hint="eastAsia"/>
              </w:rPr>
              <w:t>3个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触控一体机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屏幕尺寸不小于70英寸，采用Windows和Android双系统，支持10点同时触控，性能不低于I5处理器,4G运行内存，500G硬盘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组合书写板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双层结构，内层固定式设备和绿板；外层结构由单独两块绿板（或一块绿板）组成，用吊轨平行推拉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电子教鞭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红色激光；遥控距离15米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平板电脑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两学生1台</w:t>
            </w:r>
            <w:r>
              <w:t>。</w:t>
            </w:r>
            <w:r>
              <w:rPr>
                <w:rFonts w:hint="eastAsia"/>
              </w:rPr>
              <w:t>性能</w:t>
            </w:r>
            <w:r>
              <w:t>不低于</w:t>
            </w:r>
            <w:r>
              <w:rPr>
                <w:rFonts w:hint="eastAsia"/>
              </w:rPr>
              <w:t>四核</w:t>
            </w:r>
            <w:r>
              <w:t>处理器</w:t>
            </w:r>
            <w:r>
              <w:rPr>
                <w:rFonts w:hint="eastAsia"/>
              </w:rPr>
              <w:t>，4GB内存，32</w:t>
            </w:r>
            <w:r>
              <w:t>G</w:t>
            </w:r>
            <w:r>
              <w:rPr>
                <w:rFonts w:hint="eastAsia"/>
              </w:rPr>
              <w:t>存储，9.7英寸，Windows 10系统，</w:t>
            </w:r>
            <w:r>
              <w:t>带</w:t>
            </w:r>
            <w:r>
              <w:rPr>
                <w:rFonts w:hint="eastAsia"/>
              </w:rPr>
              <w:t>蓝牙鼠标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平板充电柜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支持20至36 台平板的</w:t>
            </w:r>
            <w:r>
              <w:t>充电</w:t>
            </w:r>
            <w:r>
              <w:rPr>
                <w:rFonts w:hint="eastAsia"/>
              </w:rPr>
              <w:t>；前门、</w:t>
            </w:r>
            <w:r>
              <w:t>后门</w:t>
            </w:r>
            <w:r>
              <w:rPr>
                <w:rFonts w:hint="eastAsia"/>
              </w:rPr>
              <w:t>带锁,封闭式防盗结构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无线</w:t>
            </w:r>
            <w:r>
              <w:t>AP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双频2.4GHz/5GHz，支持60个终端并发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课堂管理软件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提供教师端屏幕广播、视频直播、屏幕监控、共享白板、文件分发和收集等</w:t>
            </w:r>
            <w:r>
              <w:t>管</w:t>
            </w:r>
            <w:r>
              <w:rPr>
                <w:rFonts w:hint="eastAsia"/>
              </w:rPr>
              <w:t>控</w:t>
            </w:r>
            <w:r>
              <w:t>功能</w:t>
            </w:r>
            <w:r>
              <w:rPr>
                <w:rFonts w:hint="eastAsia"/>
              </w:rPr>
              <w:t>；提供学生端发言抢答、答题、作业提交、分组讨论和学习等</w:t>
            </w:r>
            <w:r>
              <w:t>交互功能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5"/>
            <w:shd w:val="clear" w:color="auto" w:fill="auto"/>
            <w:vAlign w:val="center"/>
          </w:tcPr>
          <w:p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三、教学</w:t>
            </w:r>
            <w:r>
              <w:rPr>
                <w:rFonts w:ascii="黑体" w:hAnsi="黑体" w:eastAsia="黑体"/>
                <w:b/>
                <w:sz w:val="24"/>
                <w:szCs w:val="24"/>
              </w:rPr>
              <w:t>软件</w:t>
            </w: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和</w:t>
            </w:r>
            <w:r>
              <w:rPr>
                <w:rFonts w:ascii="黑体" w:hAnsi="黑体" w:eastAsia="黑体"/>
                <w:b/>
                <w:sz w:val="24"/>
                <w:szCs w:val="24"/>
              </w:rPr>
              <w:t>资源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15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教研平台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为校内教师的日常教学教研提供</w:t>
            </w:r>
            <w:r>
              <w:t>各项</w:t>
            </w:r>
            <w:r>
              <w:rPr>
                <w:rFonts w:hint="eastAsia"/>
              </w:rPr>
              <w:t>功能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几何模型教学系统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100种以上的几何体和点线面关系演示内容，设置包括角度、周期、高、半径、边长、棱数、系数等参数，呈现出不同的几何体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数学教育资源库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包括数学之史、数学之美、数学之趣、数学之用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数学教学资源课程包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包含</w:t>
            </w:r>
            <w:r>
              <w:t>高中数学教学资源课程，</w:t>
            </w:r>
            <w:r>
              <w:rPr>
                <w:rFonts w:hint="eastAsia"/>
              </w:rPr>
              <w:t>每个课件均提供配套指导文档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中学数学探究活动课程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包括6个</w:t>
            </w:r>
            <w:r>
              <w:t>数学探究活动</w:t>
            </w:r>
            <w:r>
              <w:rPr>
                <w:rFonts w:hint="eastAsia"/>
              </w:rPr>
              <w:t>课程案例。每一个案例由5-6学时完成，每学时45分钟，提供课程操作讲解视频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图形计算器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含</w:t>
            </w:r>
            <w:r>
              <w:t>师生用图形计算器</w:t>
            </w:r>
            <w:r>
              <w:rPr>
                <w:rFonts w:hint="eastAsia"/>
              </w:rPr>
              <w:t>，配套管理</w:t>
            </w:r>
            <w:r>
              <w:t>软件和教学资源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中学数学探究报告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探究报告设置有一些列问题，形式为填空或者推理证明。探究报告含有6个案例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册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5"/>
            <w:shd w:val="clear" w:color="auto" w:fill="auto"/>
            <w:vAlign w:val="center"/>
          </w:tcPr>
          <w:p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四</w:t>
            </w:r>
            <w:r>
              <w:rPr>
                <w:rFonts w:ascii="黑体" w:hAnsi="黑体" w:eastAsia="黑体"/>
                <w:b/>
                <w:sz w:val="24"/>
                <w:szCs w:val="24"/>
              </w:rPr>
              <w:t>、</w:t>
            </w: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数学</w:t>
            </w:r>
            <w:r>
              <w:rPr>
                <w:rFonts w:ascii="黑体" w:hAnsi="黑体" w:eastAsia="黑体"/>
                <w:b/>
                <w:sz w:val="24"/>
                <w:szCs w:val="24"/>
              </w:rPr>
              <w:t>模型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1356" w:type="dxa"/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立体几何模型</w:t>
            </w:r>
          </w:p>
        </w:tc>
        <w:tc>
          <w:tcPr>
            <w:tcW w:w="4309" w:type="dxa"/>
            <w:shd w:val="clear" w:color="auto" w:fill="auto"/>
          </w:tcPr>
          <w:p>
            <w:r>
              <w:rPr>
                <w:rFonts w:hint="eastAsia"/>
              </w:rPr>
              <w:t>160件立体</w:t>
            </w:r>
            <w:r>
              <w:t>几何模型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模块化几何模型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搭建套装内含286块标准化组件，包含等边三角形100片、等腰三角形60片、正方形60片、长方形30片、五边形36片，橡皮筋600根。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三维重力博弈棋盘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棋盘尺寸47</w:t>
            </w:r>
            <w:r>
              <w:t>cm</w:t>
            </w:r>
            <w:r>
              <w:rPr>
                <w:rFonts w:hint="eastAsia"/>
              </w:rPr>
              <w:t>*33</w:t>
            </w:r>
            <w:r>
              <w:t>cm</w:t>
            </w:r>
            <w:r>
              <w:rPr>
                <w:rFonts w:hint="eastAsia"/>
              </w:rPr>
              <w:t>*6</w:t>
            </w:r>
            <w:r>
              <w:t>cm</w:t>
            </w:r>
            <w:r>
              <w:rPr>
                <w:rFonts w:hint="eastAsia"/>
              </w:rPr>
              <w:t>，多种方法训练学生的数理逻辑、博弈思维，独立思考，团队合作，沟通表达能力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5"/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五</w:t>
            </w:r>
            <w:r>
              <w:rPr>
                <w:rFonts w:ascii="黑体" w:hAnsi="黑体" w:eastAsia="黑体"/>
                <w:b/>
                <w:sz w:val="24"/>
                <w:szCs w:val="24"/>
              </w:rPr>
              <w:t>、</w:t>
            </w: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环境</w:t>
            </w:r>
            <w:r>
              <w:rPr>
                <w:rFonts w:ascii="黑体" w:hAnsi="黑体" w:eastAsia="黑体"/>
                <w:b/>
                <w:sz w:val="24"/>
                <w:szCs w:val="24"/>
              </w:rPr>
              <w:t>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25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数学知识背景墙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背景板1.22m×3.6m；提供改变世界的十个数学公式、祖冲之证明球的体积公式、集合的逻辑、无所不在的数学、中国珠算等主题之一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26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挂图灯箱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铝合金成型灯箱，图片可替换式，Led光源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若干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t>27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挂图灯箱片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数学</w:t>
            </w:r>
            <w:r>
              <w:t>学科相关</w:t>
            </w:r>
            <w:r>
              <w:rPr>
                <w:rFonts w:hint="eastAsia"/>
              </w:rPr>
              <w:t>灯箱片，包括数学</w:t>
            </w:r>
            <w:r>
              <w:t>定理、</w:t>
            </w:r>
            <w:r>
              <w:rPr>
                <w:rFonts w:hint="eastAsia"/>
              </w:rPr>
              <w:t>数学家、绘画与</w:t>
            </w:r>
            <w:r>
              <w:t>数学</w:t>
            </w:r>
            <w:r>
              <w:rPr>
                <w:rFonts w:hint="eastAsia"/>
              </w:rPr>
              <w:t>、建筑与数学、魔方与数学等，1440dpi高清晰度，覆亮膜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张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若干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知识窗帘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 xml:space="preserve">卷帘式，印制中国古代数学成就系列、数学主题分类表等知识内容 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若干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知识展板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地理图片、配边框，装饰墙面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张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若干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天花工程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石膏板天花吊顶，38轻钢龙骨，12mm纸面石膏板，局部软膜灯箱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平方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墙面工程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墙面造型，墙面乳胶漆，饰面隔板，局部车贴喷绘或壁纸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平方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地面工程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地面找平处理、地胶、PVC踢脚线安装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平方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33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强弱电布线工程部分</w:t>
            </w:r>
          </w:p>
        </w:tc>
        <w:tc>
          <w:tcPr>
            <w:tcW w:w="4309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电路改造（强弱电综合布线）、开关面板及墙地面插座、灯具、LED灯带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套 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</w:tbl>
    <w:p>
      <w:pPr>
        <w:pStyle w:val="2"/>
        <w:spacing w:before="0" w:after="0" w:line="720" w:lineRule="auto"/>
        <w:rPr>
          <w:rFonts w:ascii="黑体" w:hAnsi="黑体" w:eastAsia="黑体" w:cs="Times New Roman"/>
          <w:sz w:val="21"/>
          <w:szCs w:val="21"/>
          <w:lang w:val="zh-CN" w:eastAsia="zh-CN"/>
        </w:rPr>
      </w:pPr>
      <w:r>
        <w:rPr>
          <w:rFonts w:hint="eastAsia" w:ascii="黑体" w:hAnsi="黑体" w:eastAsia="黑体" w:cs="Times New Roman"/>
          <w:sz w:val="21"/>
          <w:szCs w:val="21"/>
          <w:lang w:val="zh-CN" w:eastAsia="zh-CN"/>
        </w:rPr>
        <w:t>6  数字地理</w:t>
      </w:r>
      <w:r>
        <w:rPr>
          <w:rFonts w:ascii="黑体" w:hAnsi="黑体" w:eastAsia="黑体" w:cs="Times New Roman"/>
          <w:sz w:val="21"/>
          <w:szCs w:val="21"/>
          <w:lang w:val="zh-CN" w:eastAsia="zh-CN"/>
        </w:rPr>
        <w:t>教室</w:t>
      </w:r>
      <w:r>
        <w:rPr>
          <w:rFonts w:hint="eastAsia" w:ascii="黑体" w:hAnsi="黑体" w:eastAsia="黑体" w:cs="Times New Roman"/>
          <w:sz w:val="21"/>
          <w:szCs w:val="21"/>
          <w:lang w:val="zh-CN" w:eastAsia="zh-CN"/>
        </w:rPr>
        <w:t>参考</w:t>
      </w:r>
      <w:r>
        <w:rPr>
          <w:rFonts w:ascii="黑体" w:hAnsi="黑体" w:eastAsia="黑体" w:cs="Times New Roman"/>
          <w:sz w:val="21"/>
          <w:szCs w:val="21"/>
          <w:lang w:val="zh-CN" w:eastAsia="zh-CN"/>
        </w:rPr>
        <w:t>布局</w:t>
      </w:r>
      <w:r>
        <w:rPr>
          <w:rFonts w:hint="eastAsia" w:ascii="黑体" w:hAnsi="黑体" w:eastAsia="黑体" w:cs="Times New Roman"/>
          <w:sz w:val="21"/>
          <w:szCs w:val="21"/>
          <w:lang w:val="zh-CN" w:eastAsia="zh-CN"/>
        </w:rPr>
        <w:t>图</w:t>
      </w:r>
    </w:p>
    <w:p>
      <w:pPr>
        <w:jc w:val="center"/>
      </w:pPr>
      <w:r>
        <w:drawing>
          <wp:inline distT="0" distB="0" distL="0" distR="0">
            <wp:extent cx="4248150" cy="3152140"/>
            <wp:effectExtent l="0" t="0" r="0" b="0"/>
            <wp:docPr id="9" name="图片 9" descr="教学楼三层数学顶视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教学楼三层数学顶视图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32" t="7282" r="10404" b="6636"/>
                    <a:stretch>
                      <a:fillRect/>
                    </a:stretch>
                  </pic:blipFill>
                  <pic:spPr>
                    <a:xfrm>
                      <a:off x="0" y="0"/>
                      <a:ext cx="4249223" cy="315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2"/>
        <w:numPr>
          <w:ilvl w:val="0"/>
          <w:numId w:val="2"/>
        </w:numPr>
        <w:spacing w:before="0" w:after="0" w:line="720" w:lineRule="auto"/>
        <w:ind w:left="0" w:firstLine="0"/>
        <w:rPr>
          <w:rFonts w:ascii="黑体" w:hAnsi="黑体" w:eastAsia="黑体"/>
          <w:sz w:val="21"/>
          <w:szCs w:val="21"/>
          <w:lang w:val="zh-CN" w:eastAsia="zh-CN"/>
        </w:rPr>
      </w:pPr>
      <w:r>
        <w:rPr>
          <w:rFonts w:ascii="黑体" w:hAnsi="黑体" w:eastAsia="黑体"/>
          <w:sz w:val="21"/>
          <w:szCs w:val="21"/>
          <w:lang w:val="zh-CN" w:eastAsia="zh-CN"/>
        </w:rPr>
        <w:t>管理要求</w:t>
      </w:r>
    </w:p>
    <w:p>
      <w:pPr>
        <w:pStyle w:val="3"/>
        <w:spacing w:before="0" w:after="0" w:line="480" w:lineRule="auto"/>
        <w:rPr>
          <w:rFonts w:ascii="黑体" w:hAnsi="黑体"/>
          <w:kern w:val="44"/>
          <w:sz w:val="21"/>
          <w:szCs w:val="21"/>
        </w:rPr>
      </w:pPr>
      <w:r>
        <w:rPr>
          <w:rFonts w:hint="eastAsia" w:ascii="黑体" w:hAnsi="黑体"/>
          <w:kern w:val="44"/>
          <w:sz w:val="21"/>
          <w:szCs w:val="21"/>
        </w:rPr>
        <w:t>7.1  制度建设</w:t>
      </w:r>
    </w:p>
    <w:p>
      <w:pPr>
        <w:spacing w:line="360" w:lineRule="auto"/>
        <w:ind w:firstLine="420" w:firstLineChars="200"/>
      </w:pPr>
      <w:r>
        <w:rPr>
          <w:rFonts w:hint="eastAsia"/>
        </w:rPr>
        <w:t>教室要建立健全各项规章制度和岗位责任制。</w:t>
      </w:r>
    </w:p>
    <w:p>
      <w:pPr>
        <w:pStyle w:val="3"/>
        <w:spacing w:before="0" w:after="0" w:line="480" w:lineRule="auto"/>
        <w:rPr>
          <w:rFonts w:ascii="黑体" w:hAnsi="黑体"/>
          <w:kern w:val="44"/>
          <w:sz w:val="21"/>
          <w:szCs w:val="21"/>
        </w:rPr>
      </w:pPr>
      <w:r>
        <w:rPr>
          <w:rFonts w:hint="eastAsia" w:ascii="黑体" w:hAnsi="黑体"/>
          <w:kern w:val="44"/>
          <w:sz w:val="21"/>
          <w:szCs w:val="21"/>
        </w:rPr>
        <w:t>7.2  人员配备</w:t>
      </w:r>
    </w:p>
    <w:p>
      <w:pPr>
        <w:spacing w:line="360" w:lineRule="auto"/>
        <w:ind w:firstLine="420" w:firstLineChars="200"/>
      </w:pPr>
      <w:r>
        <w:rPr>
          <w:rFonts w:hint="eastAsia"/>
        </w:rPr>
        <w:t>根据教学等工作任务的需要，教室应建立一支结构合理、相对稳定的队伍。包括教学教师、管理人员等。</w:t>
      </w:r>
    </w:p>
    <w:p>
      <w:pPr>
        <w:pStyle w:val="3"/>
        <w:spacing w:before="0" w:after="0" w:line="480" w:lineRule="auto"/>
        <w:rPr>
          <w:rFonts w:ascii="黑体" w:hAnsi="黑体"/>
          <w:kern w:val="44"/>
          <w:sz w:val="21"/>
          <w:szCs w:val="21"/>
        </w:rPr>
      </w:pPr>
      <w:r>
        <w:rPr>
          <w:rFonts w:hint="eastAsia" w:ascii="黑体" w:hAnsi="黑体"/>
          <w:kern w:val="44"/>
          <w:sz w:val="21"/>
          <w:szCs w:val="21"/>
        </w:rPr>
        <w:t>7.3  资产管理</w:t>
      </w:r>
    </w:p>
    <w:p>
      <w:pPr>
        <w:spacing w:line="360" w:lineRule="auto"/>
        <w:ind w:firstLine="420" w:firstLineChars="200"/>
      </w:pPr>
      <w:r>
        <w:rPr>
          <w:rFonts w:hint="eastAsia"/>
        </w:rPr>
        <w:t>设备采购和报废，必须建立登记和报废注销手续。设备损坏或丢失应查明原因，分清责任事故和非责任事故，经审核后，按学校有关管理规定办理报损、报废、报失和赔偿手续。</w:t>
      </w:r>
    </w:p>
    <w:p>
      <w:pPr>
        <w:pStyle w:val="3"/>
        <w:spacing w:before="0" w:after="0" w:line="480" w:lineRule="auto"/>
        <w:rPr>
          <w:rFonts w:ascii="黑体" w:hAnsi="黑体"/>
          <w:b w:val="0"/>
          <w:szCs w:val="21"/>
        </w:rPr>
      </w:pPr>
      <w:r>
        <w:rPr>
          <w:rFonts w:hint="eastAsia" w:ascii="黑体" w:hAnsi="黑体"/>
          <w:kern w:val="44"/>
          <w:sz w:val="21"/>
          <w:szCs w:val="21"/>
        </w:rPr>
        <w:t>7.4  档案管理</w:t>
      </w:r>
    </w:p>
    <w:p>
      <w:pPr>
        <w:spacing w:line="360" w:lineRule="auto"/>
        <w:ind w:firstLine="420" w:firstLineChars="200"/>
      </w:pPr>
      <w:r>
        <w:rPr>
          <w:rFonts w:hint="eastAsia"/>
        </w:rPr>
        <w:t>力求设备的技术档案和原始记录齐全，包括设备的技术资料、安装调试、验收、使用交接记录、损坏故障及维修养护记录等。</w:t>
      </w:r>
    </w:p>
    <w:p>
      <w:pPr>
        <w:pStyle w:val="3"/>
        <w:spacing w:before="0" w:after="0" w:line="480" w:lineRule="auto"/>
        <w:rPr>
          <w:rFonts w:ascii="黑体" w:hAnsi="黑体"/>
          <w:kern w:val="44"/>
          <w:sz w:val="21"/>
          <w:szCs w:val="21"/>
        </w:rPr>
      </w:pPr>
      <w:r>
        <w:rPr>
          <w:rFonts w:hint="eastAsia" w:ascii="黑体" w:hAnsi="黑体"/>
          <w:kern w:val="44"/>
          <w:sz w:val="21"/>
          <w:szCs w:val="21"/>
        </w:rPr>
        <w:t xml:space="preserve">7.5 </w:t>
      </w:r>
      <w:r>
        <w:rPr>
          <w:rFonts w:ascii="黑体" w:hAnsi="黑体"/>
          <w:kern w:val="44"/>
          <w:sz w:val="21"/>
          <w:szCs w:val="21"/>
        </w:rPr>
        <w:t xml:space="preserve"> </w:t>
      </w:r>
      <w:r>
        <w:rPr>
          <w:rFonts w:hint="eastAsia" w:ascii="黑体" w:hAnsi="黑体"/>
          <w:kern w:val="44"/>
          <w:sz w:val="21"/>
          <w:szCs w:val="21"/>
        </w:rPr>
        <w:t>系统维护</w:t>
      </w:r>
    </w:p>
    <w:p>
      <w:pPr>
        <w:spacing w:line="360" w:lineRule="auto"/>
        <w:ind w:firstLine="420" w:firstLineChars="200"/>
      </w:pPr>
      <w:r>
        <w:rPr>
          <w:rFonts w:hint="eastAsia"/>
        </w:rPr>
        <w:t>做好设备的维护、防尘、防潮、防盗等安全工作，提高设备的利用率和完好率。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27314"/>
    <w:multiLevelType w:val="multilevel"/>
    <w:tmpl w:val="0282731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76074FF"/>
    <w:multiLevelType w:val="multilevel"/>
    <w:tmpl w:val="476074FF"/>
    <w:lvl w:ilvl="0" w:tentative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897"/>
    <w:rsid w:val="00007999"/>
    <w:rsid w:val="00014E73"/>
    <w:rsid w:val="000216CD"/>
    <w:rsid w:val="00023E63"/>
    <w:rsid w:val="00045596"/>
    <w:rsid w:val="00046B4C"/>
    <w:rsid w:val="0005305E"/>
    <w:rsid w:val="000628F6"/>
    <w:rsid w:val="000678BB"/>
    <w:rsid w:val="00072EC5"/>
    <w:rsid w:val="0008204A"/>
    <w:rsid w:val="00086E60"/>
    <w:rsid w:val="00086F02"/>
    <w:rsid w:val="00087E87"/>
    <w:rsid w:val="000A07E8"/>
    <w:rsid w:val="000A448A"/>
    <w:rsid w:val="000B43A5"/>
    <w:rsid w:val="000B5B91"/>
    <w:rsid w:val="000C40E2"/>
    <w:rsid w:val="000C5672"/>
    <w:rsid w:val="000D688A"/>
    <w:rsid w:val="000D6C35"/>
    <w:rsid w:val="00103411"/>
    <w:rsid w:val="00105EC1"/>
    <w:rsid w:val="001110F5"/>
    <w:rsid w:val="001117B7"/>
    <w:rsid w:val="00113EE1"/>
    <w:rsid w:val="001459F4"/>
    <w:rsid w:val="00153153"/>
    <w:rsid w:val="001541F7"/>
    <w:rsid w:val="0015670D"/>
    <w:rsid w:val="00170CB0"/>
    <w:rsid w:val="001801E8"/>
    <w:rsid w:val="00192261"/>
    <w:rsid w:val="0019701C"/>
    <w:rsid w:val="001A072B"/>
    <w:rsid w:val="001A24FD"/>
    <w:rsid w:val="001A32C8"/>
    <w:rsid w:val="001A40D7"/>
    <w:rsid w:val="001E1E5F"/>
    <w:rsid w:val="001E5EB0"/>
    <w:rsid w:val="002036BE"/>
    <w:rsid w:val="00207A26"/>
    <w:rsid w:val="00233EF5"/>
    <w:rsid w:val="00245E15"/>
    <w:rsid w:val="00246048"/>
    <w:rsid w:val="002466E8"/>
    <w:rsid w:val="00251BBF"/>
    <w:rsid w:val="00254D0B"/>
    <w:rsid w:val="00256AAF"/>
    <w:rsid w:val="00261EB0"/>
    <w:rsid w:val="002679E5"/>
    <w:rsid w:val="00270583"/>
    <w:rsid w:val="00281355"/>
    <w:rsid w:val="002910D3"/>
    <w:rsid w:val="00294099"/>
    <w:rsid w:val="002A477F"/>
    <w:rsid w:val="002A50AC"/>
    <w:rsid w:val="002C1F9F"/>
    <w:rsid w:val="002C211A"/>
    <w:rsid w:val="002C2E0A"/>
    <w:rsid w:val="002D3A71"/>
    <w:rsid w:val="002E7402"/>
    <w:rsid w:val="002F5B4B"/>
    <w:rsid w:val="002F7001"/>
    <w:rsid w:val="00301161"/>
    <w:rsid w:val="00302222"/>
    <w:rsid w:val="00315B07"/>
    <w:rsid w:val="0032013A"/>
    <w:rsid w:val="00320203"/>
    <w:rsid w:val="003330EA"/>
    <w:rsid w:val="0033667B"/>
    <w:rsid w:val="0035690F"/>
    <w:rsid w:val="003704ED"/>
    <w:rsid w:val="00373091"/>
    <w:rsid w:val="00382411"/>
    <w:rsid w:val="00390F61"/>
    <w:rsid w:val="0039173B"/>
    <w:rsid w:val="00394AC3"/>
    <w:rsid w:val="003B3BF2"/>
    <w:rsid w:val="003B6568"/>
    <w:rsid w:val="003C200F"/>
    <w:rsid w:val="003C2579"/>
    <w:rsid w:val="003D2082"/>
    <w:rsid w:val="003D3A99"/>
    <w:rsid w:val="003D4526"/>
    <w:rsid w:val="003D6560"/>
    <w:rsid w:val="003E16B8"/>
    <w:rsid w:val="003E178E"/>
    <w:rsid w:val="003E586C"/>
    <w:rsid w:val="003F2E96"/>
    <w:rsid w:val="003F5FC3"/>
    <w:rsid w:val="004000AC"/>
    <w:rsid w:val="00400F6A"/>
    <w:rsid w:val="004419C2"/>
    <w:rsid w:val="00441DFC"/>
    <w:rsid w:val="00445E34"/>
    <w:rsid w:val="004470D3"/>
    <w:rsid w:val="00452DC7"/>
    <w:rsid w:val="00456C29"/>
    <w:rsid w:val="00462CFD"/>
    <w:rsid w:val="004A1A24"/>
    <w:rsid w:val="004A667E"/>
    <w:rsid w:val="004A789F"/>
    <w:rsid w:val="004D0EE3"/>
    <w:rsid w:val="004D2643"/>
    <w:rsid w:val="004E4F85"/>
    <w:rsid w:val="004F76BA"/>
    <w:rsid w:val="005010B7"/>
    <w:rsid w:val="00501910"/>
    <w:rsid w:val="005034B9"/>
    <w:rsid w:val="00511709"/>
    <w:rsid w:val="00516C73"/>
    <w:rsid w:val="0052016C"/>
    <w:rsid w:val="005271EA"/>
    <w:rsid w:val="00532FC7"/>
    <w:rsid w:val="00535D46"/>
    <w:rsid w:val="00555108"/>
    <w:rsid w:val="005647A2"/>
    <w:rsid w:val="0057730F"/>
    <w:rsid w:val="00577939"/>
    <w:rsid w:val="00582E63"/>
    <w:rsid w:val="00583ACC"/>
    <w:rsid w:val="0058644C"/>
    <w:rsid w:val="005A7524"/>
    <w:rsid w:val="005B66EF"/>
    <w:rsid w:val="005C352E"/>
    <w:rsid w:val="005C4A5E"/>
    <w:rsid w:val="005C76CF"/>
    <w:rsid w:val="005E276E"/>
    <w:rsid w:val="005E5BB0"/>
    <w:rsid w:val="005F3890"/>
    <w:rsid w:val="005F7256"/>
    <w:rsid w:val="00605C5F"/>
    <w:rsid w:val="0060673C"/>
    <w:rsid w:val="00611AB9"/>
    <w:rsid w:val="006120B2"/>
    <w:rsid w:val="0061278F"/>
    <w:rsid w:val="0061331D"/>
    <w:rsid w:val="00613655"/>
    <w:rsid w:val="00614421"/>
    <w:rsid w:val="0062092F"/>
    <w:rsid w:val="00627E0B"/>
    <w:rsid w:val="00631B13"/>
    <w:rsid w:val="00645A24"/>
    <w:rsid w:val="0065155C"/>
    <w:rsid w:val="00652F90"/>
    <w:rsid w:val="00655926"/>
    <w:rsid w:val="00657057"/>
    <w:rsid w:val="006604E9"/>
    <w:rsid w:val="00660A39"/>
    <w:rsid w:val="00677AE2"/>
    <w:rsid w:val="00680FC1"/>
    <w:rsid w:val="00691CB8"/>
    <w:rsid w:val="006921B7"/>
    <w:rsid w:val="00692B0F"/>
    <w:rsid w:val="006A3B8A"/>
    <w:rsid w:val="006A50A9"/>
    <w:rsid w:val="006A5632"/>
    <w:rsid w:val="006B2DE2"/>
    <w:rsid w:val="006B5E04"/>
    <w:rsid w:val="006C60D5"/>
    <w:rsid w:val="006D19E4"/>
    <w:rsid w:val="006D2270"/>
    <w:rsid w:val="006D372A"/>
    <w:rsid w:val="006E3891"/>
    <w:rsid w:val="006E4CAC"/>
    <w:rsid w:val="006F3D7F"/>
    <w:rsid w:val="006F3E29"/>
    <w:rsid w:val="006F66E3"/>
    <w:rsid w:val="006F6B20"/>
    <w:rsid w:val="00704C93"/>
    <w:rsid w:val="0071000C"/>
    <w:rsid w:val="00714EC1"/>
    <w:rsid w:val="007264BB"/>
    <w:rsid w:val="00747F79"/>
    <w:rsid w:val="00774E60"/>
    <w:rsid w:val="00780FE5"/>
    <w:rsid w:val="007864A4"/>
    <w:rsid w:val="0078785D"/>
    <w:rsid w:val="007973A9"/>
    <w:rsid w:val="007B32E9"/>
    <w:rsid w:val="007E2EE6"/>
    <w:rsid w:val="007E4534"/>
    <w:rsid w:val="007E6445"/>
    <w:rsid w:val="00812338"/>
    <w:rsid w:val="00822CD1"/>
    <w:rsid w:val="008242EC"/>
    <w:rsid w:val="00827BC9"/>
    <w:rsid w:val="00834EB0"/>
    <w:rsid w:val="00836353"/>
    <w:rsid w:val="00844CE7"/>
    <w:rsid w:val="00846A7C"/>
    <w:rsid w:val="00847824"/>
    <w:rsid w:val="008509F1"/>
    <w:rsid w:val="008540EC"/>
    <w:rsid w:val="008661E9"/>
    <w:rsid w:val="00871B41"/>
    <w:rsid w:val="00875BBC"/>
    <w:rsid w:val="008820FA"/>
    <w:rsid w:val="008968E3"/>
    <w:rsid w:val="008C7096"/>
    <w:rsid w:val="008D05CA"/>
    <w:rsid w:val="008D4392"/>
    <w:rsid w:val="008E00D6"/>
    <w:rsid w:val="008E2FE2"/>
    <w:rsid w:val="008E79AC"/>
    <w:rsid w:val="008F7935"/>
    <w:rsid w:val="009249A7"/>
    <w:rsid w:val="00926130"/>
    <w:rsid w:val="00967799"/>
    <w:rsid w:val="00974E9F"/>
    <w:rsid w:val="0098697A"/>
    <w:rsid w:val="00990905"/>
    <w:rsid w:val="009968F1"/>
    <w:rsid w:val="009A2FCD"/>
    <w:rsid w:val="009B31A6"/>
    <w:rsid w:val="009B773D"/>
    <w:rsid w:val="009C5BDB"/>
    <w:rsid w:val="009C64D7"/>
    <w:rsid w:val="009D67F0"/>
    <w:rsid w:val="009D6A48"/>
    <w:rsid w:val="009F28AA"/>
    <w:rsid w:val="00A03206"/>
    <w:rsid w:val="00A13D64"/>
    <w:rsid w:val="00A23F0F"/>
    <w:rsid w:val="00A306A3"/>
    <w:rsid w:val="00A561CC"/>
    <w:rsid w:val="00A56644"/>
    <w:rsid w:val="00A61CDD"/>
    <w:rsid w:val="00A643B9"/>
    <w:rsid w:val="00A651E0"/>
    <w:rsid w:val="00A72387"/>
    <w:rsid w:val="00A72552"/>
    <w:rsid w:val="00A80A92"/>
    <w:rsid w:val="00A94438"/>
    <w:rsid w:val="00AB4080"/>
    <w:rsid w:val="00AB5D54"/>
    <w:rsid w:val="00AC16FD"/>
    <w:rsid w:val="00AD5E4C"/>
    <w:rsid w:val="00AE0897"/>
    <w:rsid w:val="00AE4354"/>
    <w:rsid w:val="00B01A7B"/>
    <w:rsid w:val="00B0683D"/>
    <w:rsid w:val="00B14A4A"/>
    <w:rsid w:val="00B17AC7"/>
    <w:rsid w:val="00B22964"/>
    <w:rsid w:val="00B470BD"/>
    <w:rsid w:val="00B75069"/>
    <w:rsid w:val="00B766FA"/>
    <w:rsid w:val="00B959C5"/>
    <w:rsid w:val="00BA4902"/>
    <w:rsid w:val="00BB1546"/>
    <w:rsid w:val="00BC20DA"/>
    <w:rsid w:val="00BC7BA5"/>
    <w:rsid w:val="00BD21C5"/>
    <w:rsid w:val="00BE0A85"/>
    <w:rsid w:val="00C02D0A"/>
    <w:rsid w:val="00C10B6D"/>
    <w:rsid w:val="00C1222B"/>
    <w:rsid w:val="00C51AC3"/>
    <w:rsid w:val="00C6414C"/>
    <w:rsid w:val="00C77FDF"/>
    <w:rsid w:val="00C90D06"/>
    <w:rsid w:val="00C94E1F"/>
    <w:rsid w:val="00C95CBE"/>
    <w:rsid w:val="00CA3AED"/>
    <w:rsid w:val="00CA5B46"/>
    <w:rsid w:val="00CB088E"/>
    <w:rsid w:val="00CB1BD5"/>
    <w:rsid w:val="00CB318D"/>
    <w:rsid w:val="00CC0EA2"/>
    <w:rsid w:val="00CC3F2C"/>
    <w:rsid w:val="00CC5371"/>
    <w:rsid w:val="00CF7866"/>
    <w:rsid w:val="00CF7BFD"/>
    <w:rsid w:val="00D04052"/>
    <w:rsid w:val="00D21374"/>
    <w:rsid w:val="00D40B9C"/>
    <w:rsid w:val="00D43591"/>
    <w:rsid w:val="00D54D85"/>
    <w:rsid w:val="00D642D3"/>
    <w:rsid w:val="00D65BF2"/>
    <w:rsid w:val="00D70ED8"/>
    <w:rsid w:val="00D7100F"/>
    <w:rsid w:val="00D81DFD"/>
    <w:rsid w:val="00D87481"/>
    <w:rsid w:val="00DA2437"/>
    <w:rsid w:val="00DA2D43"/>
    <w:rsid w:val="00DB3096"/>
    <w:rsid w:val="00DB4DCF"/>
    <w:rsid w:val="00DF4096"/>
    <w:rsid w:val="00DF4F6F"/>
    <w:rsid w:val="00DF6538"/>
    <w:rsid w:val="00E02E11"/>
    <w:rsid w:val="00E21846"/>
    <w:rsid w:val="00E364B6"/>
    <w:rsid w:val="00E45473"/>
    <w:rsid w:val="00E46805"/>
    <w:rsid w:val="00E52053"/>
    <w:rsid w:val="00E547A8"/>
    <w:rsid w:val="00E6532D"/>
    <w:rsid w:val="00E72D98"/>
    <w:rsid w:val="00E847E1"/>
    <w:rsid w:val="00E90AA3"/>
    <w:rsid w:val="00E9783D"/>
    <w:rsid w:val="00EC0585"/>
    <w:rsid w:val="00ED2D7B"/>
    <w:rsid w:val="00ED3A59"/>
    <w:rsid w:val="00ED49BB"/>
    <w:rsid w:val="00ED53C6"/>
    <w:rsid w:val="00EE5252"/>
    <w:rsid w:val="00EF3F34"/>
    <w:rsid w:val="00F03885"/>
    <w:rsid w:val="00F2295A"/>
    <w:rsid w:val="00F2317B"/>
    <w:rsid w:val="00F24CE5"/>
    <w:rsid w:val="00F30138"/>
    <w:rsid w:val="00F3689F"/>
    <w:rsid w:val="00F7091B"/>
    <w:rsid w:val="00F717F9"/>
    <w:rsid w:val="00F9036F"/>
    <w:rsid w:val="00F94542"/>
    <w:rsid w:val="00FA0818"/>
    <w:rsid w:val="00FB1447"/>
    <w:rsid w:val="00FB39CE"/>
    <w:rsid w:val="00FB4979"/>
    <w:rsid w:val="00FC182B"/>
    <w:rsid w:val="00FC2061"/>
    <w:rsid w:val="00FD3C6F"/>
    <w:rsid w:val="00FD680A"/>
    <w:rsid w:val="00FF74E8"/>
    <w:rsid w:val="157D6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qFormat/>
    <w:uiPriority w:val="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8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段"/>
    <w:link w:val="13"/>
    <w:uiPriority w:val="99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customStyle="1" w:styleId="13">
    <w:name w:val="段 Char Char"/>
    <w:link w:val="12"/>
    <w:locked/>
    <w:uiPriority w:val="99"/>
    <w:rPr>
      <w:rFonts w:ascii="宋体" w:hAnsi="Times New Roman" w:eastAsia="宋体" w:cs="Times New Roman"/>
      <w:kern w:val="0"/>
      <w:szCs w:val="20"/>
    </w:rPr>
  </w:style>
  <w:style w:type="character" w:customStyle="1" w:styleId="14">
    <w:name w:val="页眉 Char"/>
    <w:basedOn w:val="8"/>
    <w:link w:val="7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脚 Char"/>
    <w:basedOn w:val="8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标题 2 Char"/>
    <w:basedOn w:val="8"/>
    <w:link w:val="3"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批注框文本 Char"/>
    <w:basedOn w:val="8"/>
    <w:link w:val="5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日期 Char"/>
    <w:basedOn w:val="8"/>
    <w:link w:val="4"/>
    <w:semiHidden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895</Words>
  <Characters>5102</Characters>
  <Lines>42</Lines>
  <Paragraphs>11</Paragraphs>
  <TotalTime>109</TotalTime>
  <ScaleCrop>false</ScaleCrop>
  <LinksUpToDate>false</LinksUpToDate>
  <CharactersWithSpaces>5986</CharactersWithSpaces>
  <Application>WPS Office_11.1.0.8306_F1E327BC-269C-435d-A152-05C5408002CA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2018-12-11T00:43:00Z</dcterms:created>
  <dc:creator>张仲华</dc:creator>
  <cp:lastModifiedBy>禹</cp:lastModifiedBy>
  <dcterms:modified xsi:type="dcterms:W3CDTF">2018-12-26T02:19:55Z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2052-11.1.0.8306</vt:lpwstr>
  </property>
</Properties>
</file>