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浙江省中小学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VR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创客教室装备指导意见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</w:p>
    <w:p>
      <w:pPr>
        <w:pStyle w:val="2"/>
        <w:numPr>
          <w:ilvl w:val="0"/>
          <w:numId w:val="1"/>
        </w:numPr>
        <w:spacing w:before="0" w:after="0" w:line="720" w:lineRule="auto"/>
        <w:ind w:left="0" w:firstLine="0"/>
        <w:rPr>
          <w:rFonts w:ascii="黑体" w:hAnsi="黑体" w:eastAsia="黑体"/>
          <w:sz w:val="21"/>
          <w:szCs w:val="21"/>
          <w:lang w:val="zh-CN" w:eastAsia="zh-CN"/>
        </w:rPr>
      </w:pPr>
      <w:r>
        <w:rPr>
          <w:rFonts w:hint="eastAsia" w:ascii="黑体" w:hAnsi="黑体" w:eastAsia="黑体"/>
          <w:sz w:val="21"/>
          <w:szCs w:val="21"/>
          <w:lang w:val="zh-CN" w:eastAsia="zh-CN"/>
        </w:rPr>
        <w:t xml:space="preserve">范围 </w:t>
      </w:r>
    </w:p>
    <w:p>
      <w:pPr>
        <w:spacing w:line="360" w:lineRule="auto"/>
        <w:ind w:firstLine="420" w:firstLineChars="200"/>
      </w:pPr>
      <w:r>
        <w:rPr>
          <w:rFonts w:hint="eastAsia"/>
        </w:rPr>
        <w:t>本指导意见规定了浙江省中小学V</w:t>
      </w:r>
      <w:r>
        <w:t>R</w:t>
      </w:r>
      <w:r>
        <w:rPr>
          <w:rFonts w:hint="eastAsia"/>
        </w:rPr>
        <w:t>创客教室装备建设的基本要求，包括定义、教室要求、装备内容、安装要求、管理要求、应用方案等方面的内容。</w:t>
      </w:r>
    </w:p>
    <w:p>
      <w:pPr>
        <w:spacing w:line="360" w:lineRule="auto"/>
        <w:ind w:firstLine="420" w:firstLineChars="200"/>
        <w:rPr>
          <w:rFonts w:cs="Times New Roman"/>
        </w:rPr>
      </w:pPr>
      <w:r>
        <w:rPr>
          <w:rFonts w:hint="eastAsia" w:cs="Times New Roman"/>
        </w:rPr>
        <w:t>本</w:t>
      </w:r>
      <w:r>
        <w:rPr>
          <w:rFonts w:hint="eastAsia"/>
        </w:rPr>
        <w:t>指导意见</w:t>
      </w:r>
      <w:r>
        <w:rPr>
          <w:rFonts w:hint="eastAsia" w:cs="Times New Roman"/>
        </w:rPr>
        <w:t>适用于浙江省中小学V</w:t>
      </w:r>
      <w:r>
        <w:rPr>
          <w:rFonts w:cs="Times New Roman"/>
        </w:rPr>
        <w:t>R</w:t>
      </w:r>
      <w:r>
        <w:rPr>
          <w:rFonts w:hint="eastAsia" w:cs="Times New Roman"/>
        </w:rPr>
        <w:t>创客教室装备。</w:t>
      </w:r>
    </w:p>
    <w:p>
      <w:pPr>
        <w:pStyle w:val="2"/>
        <w:numPr>
          <w:ilvl w:val="0"/>
          <w:numId w:val="1"/>
        </w:numPr>
        <w:spacing w:before="0" w:after="0" w:line="720" w:lineRule="auto"/>
        <w:ind w:left="0" w:firstLine="0"/>
        <w:rPr>
          <w:rFonts w:ascii="黑体" w:hAnsi="黑体" w:eastAsia="黑体"/>
          <w:sz w:val="21"/>
          <w:szCs w:val="21"/>
          <w:lang w:val="zh-CN" w:eastAsia="zh-CN"/>
        </w:rPr>
      </w:pPr>
      <w:r>
        <w:rPr>
          <w:rFonts w:hint="eastAsia" w:ascii="黑体" w:hAnsi="黑体" w:eastAsia="黑体"/>
          <w:sz w:val="21"/>
          <w:szCs w:val="21"/>
          <w:lang w:val="zh-CN" w:eastAsia="zh-CN"/>
        </w:rPr>
        <w:t>定义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</w:rPr>
      </w:pPr>
      <w:r>
        <w:rPr>
          <w:rFonts w:hint="eastAsia" w:ascii="黑体" w:hAnsi="黑体" w:eastAsia="黑体"/>
          <w:kern w:val="44"/>
          <w:sz w:val="21"/>
          <w:szCs w:val="21"/>
        </w:rPr>
        <w:t xml:space="preserve">2.1  </w:t>
      </w:r>
      <w:r>
        <w:rPr>
          <w:rFonts w:ascii="黑体" w:hAnsi="黑体" w:eastAsia="黑体"/>
          <w:kern w:val="44"/>
          <w:sz w:val="21"/>
          <w:szCs w:val="21"/>
        </w:rPr>
        <w:t>VR</w:t>
      </w:r>
      <w:r>
        <w:rPr>
          <w:rFonts w:hint="eastAsia" w:ascii="黑体" w:hAnsi="黑体" w:eastAsia="黑体"/>
          <w:kern w:val="44"/>
          <w:sz w:val="21"/>
          <w:szCs w:val="21"/>
        </w:rPr>
        <w:t>创客教室</w:t>
      </w:r>
    </w:p>
    <w:p>
      <w:pPr>
        <w:spacing w:line="360" w:lineRule="auto"/>
        <w:ind w:firstLine="420" w:firstLineChars="200"/>
      </w:pPr>
      <w:r>
        <w:rPr>
          <w:rFonts w:hint="eastAsia"/>
        </w:rPr>
        <w:t>以培养学生创新精神和动手能力为重点，将沉浸式虚拟现实技术（</w:t>
      </w:r>
      <w:r>
        <w:t>VR</w:t>
      </w:r>
      <w:r>
        <w:rPr>
          <w:rFonts w:hint="eastAsia"/>
        </w:rPr>
        <w:t>）与</w:t>
      </w:r>
      <w:r>
        <w:t>STEM</w:t>
      </w:r>
      <w:r>
        <w:rPr>
          <w:rFonts w:hint="eastAsia"/>
        </w:rPr>
        <w:t>理念、创客精神相融合，以</w:t>
      </w:r>
      <w:r>
        <w:t>VR</w:t>
      </w:r>
      <w:r>
        <w:rPr>
          <w:rFonts w:hint="eastAsia"/>
        </w:rPr>
        <w:t>快速编辑软件为基础，依托云端海量</w:t>
      </w:r>
      <w:r>
        <w:t>3D</w:t>
      </w:r>
      <w:r>
        <w:rPr>
          <w:rFonts w:hint="eastAsia"/>
        </w:rPr>
        <w:t>教育资源素材库，为学生提供自由发挥的空间，把学习者转变为创造者的一个教学场所。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</w:rPr>
      </w:pPr>
      <w:r>
        <w:rPr>
          <w:rFonts w:hint="eastAsia" w:ascii="黑体" w:hAnsi="黑体" w:eastAsia="黑体"/>
          <w:kern w:val="44"/>
          <w:sz w:val="21"/>
          <w:szCs w:val="21"/>
        </w:rPr>
        <w:t>2.2  虚拟现实(</w:t>
      </w:r>
      <w:r>
        <w:rPr>
          <w:rFonts w:ascii="黑体" w:hAnsi="黑体" w:eastAsia="黑体"/>
          <w:kern w:val="44"/>
          <w:sz w:val="21"/>
          <w:szCs w:val="21"/>
        </w:rPr>
        <w:t>VR)</w:t>
      </w:r>
    </w:p>
    <w:p>
      <w:pPr>
        <w:spacing w:line="360" w:lineRule="auto"/>
        <w:ind w:firstLine="420" w:firstLineChars="200"/>
      </w:pPr>
      <w:r>
        <w:rPr>
          <w:rFonts w:hint="eastAsia"/>
        </w:rPr>
        <w:t>虚拟现实是一种可以创建和体验虚拟世界的计算机仿真系统，它利用高性能计算机生成一种模拟环境，是一种多源信息融合的、交互式的三维动态视景和实体行为的系统仿真。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</w:rPr>
      </w:pPr>
      <w:r>
        <w:rPr>
          <w:rFonts w:hint="eastAsia" w:ascii="黑体" w:hAnsi="黑体" w:eastAsia="黑体"/>
          <w:kern w:val="44"/>
          <w:sz w:val="21"/>
          <w:szCs w:val="21"/>
        </w:rPr>
        <w:t>2.</w:t>
      </w:r>
      <w:r>
        <w:rPr>
          <w:rFonts w:ascii="黑体" w:hAnsi="黑体" w:eastAsia="黑体"/>
          <w:kern w:val="44"/>
          <w:sz w:val="21"/>
          <w:szCs w:val="21"/>
        </w:rPr>
        <w:t>3</w:t>
      </w:r>
      <w:r>
        <w:rPr>
          <w:rFonts w:hint="eastAsia" w:ascii="黑体" w:hAnsi="黑体" w:eastAsia="黑体"/>
          <w:kern w:val="44"/>
          <w:sz w:val="21"/>
          <w:szCs w:val="21"/>
        </w:rPr>
        <w:t xml:space="preserve">  V</w:t>
      </w:r>
      <w:r>
        <w:rPr>
          <w:rFonts w:ascii="黑体" w:hAnsi="黑体" w:eastAsia="黑体"/>
          <w:kern w:val="44"/>
          <w:sz w:val="21"/>
          <w:szCs w:val="21"/>
        </w:rPr>
        <w:t>R</w:t>
      </w:r>
      <w:r>
        <w:rPr>
          <w:rFonts w:hint="eastAsia" w:ascii="黑体" w:hAnsi="黑体" w:eastAsia="黑体"/>
          <w:kern w:val="44"/>
          <w:sz w:val="21"/>
          <w:szCs w:val="21"/>
        </w:rPr>
        <w:t>眼镜</w:t>
      </w:r>
    </w:p>
    <w:p>
      <w:pPr>
        <w:spacing w:line="360" w:lineRule="auto"/>
        <w:ind w:firstLine="420" w:firstLineChars="200"/>
      </w:pPr>
      <w:r>
        <w:rPr>
          <w:rFonts w:hint="eastAsia"/>
        </w:rPr>
        <w:t>即</w:t>
      </w:r>
      <w:r>
        <w:t>虚拟现实头戴式显示设备，简称VR</w:t>
      </w:r>
      <w:r>
        <w:fldChar w:fldCharType="begin"/>
      </w:r>
      <w:r>
        <w:instrText xml:space="preserve"> HYPERLINK "https://baike.baidu.com/item/%E5%A4%B4%E6%98%BE" \t "_blank" </w:instrText>
      </w:r>
      <w:r>
        <w:fldChar w:fldCharType="separate"/>
      </w:r>
      <w:r>
        <w:t>头显</w:t>
      </w:r>
      <w:r>
        <w:fldChar w:fldCharType="end"/>
      </w:r>
      <w:r>
        <w:t>，是一种利用头戴式显示设备将人的对外界的视觉、听觉封闭，引导用户产生一种身在</w:t>
      </w:r>
      <w:r>
        <w:fldChar w:fldCharType="begin"/>
      </w:r>
      <w:r>
        <w:instrText xml:space="preserve"> HYPERLINK "https://baike.baidu.com/item/%E8%99%9A%E6%8B%9F%E7%8E%AF%E5%A2%83" \t "_blank" </w:instrText>
      </w:r>
      <w:r>
        <w:fldChar w:fldCharType="separate"/>
      </w:r>
      <w:r>
        <w:t>虚拟环境</w:t>
      </w:r>
      <w:r>
        <w:fldChar w:fldCharType="end"/>
      </w:r>
      <w:r>
        <w:t>中的感觉。</w:t>
      </w:r>
    </w:p>
    <w:p>
      <w:pPr>
        <w:pStyle w:val="2"/>
        <w:numPr>
          <w:ilvl w:val="0"/>
          <w:numId w:val="1"/>
        </w:numPr>
        <w:spacing w:before="0" w:after="0" w:line="720" w:lineRule="auto"/>
        <w:ind w:left="0" w:firstLine="0"/>
        <w:rPr>
          <w:rFonts w:ascii="黑体" w:hAnsi="黑体" w:eastAsia="黑体"/>
          <w:sz w:val="21"/>
          <w:szCs w:val="21"/>
          <w:lang w:val="zh-CN" w:eastAsia="zh-CN"/>
        </w:rPr>
      </w:pPr>
      <w:r>
        <w:rPr>
          <w:rFonts w:hint="eastAsia" w:ascii="黑体" w:hAnsi="黑体" w:eastAsia="黑体"/>
          <w:sz w:val="21"/>
          <w:szCs w:val="21"/>
          <w:lang w:val="zh-CN"/>
        </w:rPr>
        <w:t>教室</w:t>
      </w:r>
      <w:r>
        <w:rPr>
          <w:rFonts w:ascii="黑体" w:hAnsi="黑体" w:eastAsia="黑体"/>
          <w:sz w:val="21"/>
          <w:szCs w:val="21"/>
          <w:lang w:val="zh-CN" w:eastAsia="zh-CN"/>
        </w:rPr>
        <w:t>要求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</w:rPr>
      </w:pPr>
      <w:r>
        <w:rPr>
          <w:rFonts w:hint="eastAsia" w:ascii="黑体" w:hAnsi="黑体" w:eastAsia="黑体"/>
          <w:kern w:val="44"/>
          <w:sz w:val="21"/>
          <w:szCs w:val="21"/>
        </w:rPr>
        <w:t>3.1  面积</w:t>
      </w:r>
    </w:p>
    <w:p>
      <w:pPr>
        <w:spacing w:line="360" w:lineRule="auto"/>
        <w:ind w:firstLine="420" w:firstLineChars="200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学校可根据实际条件，按照小学生均面积不小于1.58m</w:t>
      </w:r>
      <w:r>
        <w:rPr>
          <w:rFonts w:hint="eastAsia" w:ascii="宋体" w:hAnsi="宋体" w:eastAsia="宋体" w:cs="宋体"/>
          <w:kern w:val="0"/>
          <w:szCs w:val="21"/>
          <w:vertAlign w:val="superscript"/>
        </w:rPr>
        <w:t>2</w:t>
      </w:r>
      <w:r>
        <w:rPr>
          <w:rFonts w:hint="eastAsia" w:ascii="宋体" w:hAnsi="宋体" w:eastAsia="宋体" w:cs="宋体"/>
          <w:kern w:val="0"/>
          <w:szCs w:val="21"/>
        </w:rPr>
        <w:t>，初中</w:t>
      </w:r>
      <w:r>
        <w:rPr>
          <w:rFonts w:ascii="宋体" w:hAnsi="宋体" w:eastAsia="宋体" w:cs="宋体"/>
          <w:kern w:val="0"/>
          <w:szCs w:val="21"/>
        </w:rPr>
        <w:t>生均面积不小于</w:t>
      </w:r>
      <w:r>
        <w:rPr>
          <w:rFonts w:hint="eastAsia" w:ascii="宋体" w:hAnsi="宋体" w:eastAsia="宋体" w:cs="宋体"/>
          <w:kern w:val="0"/>
          <w:szCs w:val="21"/>
        </w:rPr>
        <w:t>1.</w:t>
      </w:r>
      <w:r>
        <w:rPr>
          <w:rFonts w:ascii="宋体" w:hAnsi="宋体" w:eastAsia="宋体" w:cs="宋体"/>
          <w:kern w:val="0"/>
          <w:szCs w:val="21"/>
        </w:rPr>
        <w:t>8</w:t>
      </w:r>
      <w:r>
        <w:rPr>
          <w:rFonts w:hint="eastAsia" w:ascii="宋体" w:hAnsi="宋体" w:eastAsia="宋体" w:cs="宋体"/>
          <w:kern w:val="0"/>
          <w:szCs w:val="21"/>
        </w:rPr>
        <w:t>m</w:t>
      </w:r>
      <w:r>
        <w:rPr>
          <w:rFonts w:hint="eastAsia" w:ascii="宋体" w:hAnsi="宋体" w:eastAsia="宋体" w:cs="宋体"/>
          <w:kern w:val="0"/>
          <w:szCs w:val="21"/>
          <w:vertAlign w:val="superscript"/>
        </w:rPr>
        <w:t>2</w:t>
      </w:r>
      <w:r>
        <w:rPr>
          <w:rFonts w:hint="eastAsia" w:ascii="宋体" w:hAnsi="宋体" w:eastAsia="宋体" w:cs="宋体"/>
          <w:kern w:val="0"/>
          <w:szCs w:val="21"/>
        </w:rPr>
        <w:t>选择教室，高中按照生均面积不小于</w:t>
      </w:r>
      <w:r>
        <w:rPr>
          <w:rFonts w:ascii="宋体" w:hAnsi="宋体" w:eastAsia="宋体" w:cs="宋体"/>
          <w:kern w:val="0"/>
          <w:szCs w:val="21"/>
        </w:rPr>
        <w:t>1.92m</w:t>
      </w:r>
      <w:r>
        <w:rPr>
          <w:rFonts w:ascii="宋体" w:hAnsi="宋体" w:eastAsia="宋体" w:cs="宋体"/>
          <w:kern w:val="0"/>
          <w:szCs w:val="21"/>
          <w:vertAlign w:val="superscript"/>
        </w:rPr>
        <w:t>2</w:t>
      </w:r>
      <w:r>
        <w:rPr>
          <w:rFonts w:hint="eastAsia" w:ascii="宋体" w:hAnsi="宋体" w:eastAsia="宋体" w:cs="宋体"/>
          <w:kern w:val="0"/>
          <w:szCs w:val="21"/>
        </w:rPr>
        <w:t>选择教室。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</w:rPr>
      </w:pPr>
      <w:r>
        <w:rPr>
          <w:rFonts w:hint="eastAsia" w:ascii="黑体" w:hAnsi="黑体" w:eastAsia="黑体"/>
          <w:kern w:val="44"/>
          <w:sz w:val="21"/>
          <w:szCs w:val="21"/>
        </w:rPr>
        <w:t>3.2  地面</w:t>
      </w:r>
    </w:p>
    <w:p>
      <w:pPr>
        <w:spacing w:line="360" w:lineRule="auto"/>
        <w:ind w:firstLine="420" w:firstLineChars="200"/>
      </w:pPr>
      <w:r>
        <w:rPr>
          <w:rFonts w:hint="eastAsia"/>
        </w:rPr>
        <w:t>与走廊的地面不宜设台阶。地面应平整、易清洁、耐磨、防滑。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</w:rPr>
      </w:pPr>
      <w:r>
        <w:rPr>
          <w:rFonts w:hint="eastAsia" w:ascii="黑体" w:hAnsi="黑体" w:eastAsia="黑体"/>
          <w:kern w:val="44"/>
          <w:sz w:val="21"/>
          <w:szCs w:val="21"/>
        </w:rPr>
        <w:t>3.3  门窗</w:t>
      </w:r>
    </w:p>
    <w:p>
      <w:pPr>
        <w:spacing w:line="360" w:lineRule="auto"/>
        <w:ind w:firstLine="420" w:firstLineChars="200"/>
      </w:pPr>
      <w:r>
        <w:rPr>
          <w:rFonts w:hint="eastAsia"/>
        </w:rPr>
        <w:t>应设置前后门，门洞的宽度不应小于1200 mm，门应向疏散方向开启，开启的门窗不得挤占走道的疏散通道。临空窗台高度不应低于900m。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</w:rPr>
      </w:pPr>
      <w:r>
        <w:rPr>
          <w:rFonts w:hint="eastAsia" w:ascii="黑体" w:hAnsi="黑体" w:eastAsia="黑体"/>
          <w:kern w:val="44"/>
          <w:sz w:val="21"/>
          <w:szCs w:val="21"/>
        </w:rPr>
        <w:t xml:space="preserve">3.4 </w:t>
      </w:r>
      <w:r>
        <w:rPr>
          <w:rFonts w:ascii="黑体" w:hAnsi="黑体" w:eastAsia="黑体"/>
          <w:kern w:val="44"/>
          <w:sz w:val="21"/>
          <w:szCs w:val="21"/>
        </w:rPr>
        <w:t xml:space="preserve"> </w:t>
      </w:r>
      <w:r>
        <w:rPr>
          <w:rFonts w:hint="eastAsia" w:ascii="黑体" w:hAnsi="黑体" w:eastAsia="黑体"/>
          <w:kern w:val="44"/>
          <w:sz w:val="21"/>
          <w:szCs w:val="21"/>
        </w:rPr>
        <w:t>网络</w:t>
      </w:r>
    </w:p>
    <w:p>
      <w:pPr>
        <w:spacing w:line="360" w:lineRule="auto"/>
        <w:ind w:firstLine="420" w:firstLineChars="200"/>
      </w:pPr>
      <w:r>
        <w:rPr>
          <w:rFonts w:hint="eastAsia"/>
        </w:rPr>
        <w:t>应设有1个或以上的千兆网络接口。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</w:rPr>
      </w:pPr>
      <w:r>
        <w:rPr>
          <w:rFonts w:hint="eastAsia" w:ascii="黑体" w:hAnsi="黑体" w:eastAsia="黑体"/>
          <w:kern w:val="44"/>
          <w:sz w:val="21"/>
          <w:szCs w:val="21"/>
        </w:rPr>
        <w:t>3.5  综合布线</w:t>
      </w:r>
    </w:p>
    <w:p>
      <w:pPr>
        <w:spacing w:line="360" w:lineRule="auto"/>
        <w:ind w:firstLine="420" w:firstLineChars="200"/>
      </w:pPr>
      <w:r>
        <w:t xml:space="preserve">室内电源应设总控开关，设备系统、空调、照明和电源插座用电应分路设计和分别控制。室内的电力线和信号线敷设应按标准分开。 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</w:rPr>
      </w:pPr>
      <w:r>
        <w:rPr>
          <w:rFonts w:hint="eastAsia" w:ascii="黑体" w:hAnsi="黑体" w:eastAsia="黑体"/>
          <w:kern w:val="44"/>
          <w:sz w:val="21"/>
          <w:szCs w:val="21"/>
        </w:rPr>
        <w:t>3.6  供电</w:t>
      </w:r>
    </w:p>
    <w:p>
      <w:pPr>
        <w:spacing w:line="360" w:lineRule="auto"/>
        <w:ind w:firstLine="420" w:firstLineChars="200"/>
      </w:pPr>
      <w:r>
        <w:t>教室电气线路应采用防火要求的暗敷配线方式，安装剩余电流（漏电）保护器。供电电源额定总容量（设备系统的用电容量）应不小于设备总功率的</w:t>
      </w:r>
      <w:r>
        <w:rPr>
          <w:rFonts w:hint="eastAsia"/>
        </w:rPr>
        <w:t>1.5</w:t>
      </w:r>
      <w:r>
        <w:t>～</w:t>
      </w:r>
      <w:r>
        <w:rPr>
          <w:rFonts w:hint="eastAsia"/>
        </w:rPr>
        <w:t>2</w:t>
      </w:r>
      <w:r>
        <w:t>倍。 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</w:rPr>
      </w:pPr>
      <w:r>
        <w:rPr>
          <w:rFonts w:hint="eastAsia" w:ascii="黑体" w:hAnsi="黑体" w:eastAsia="黑体"/>
          <w:kern w:val="44"/>
          <w:sz w:val="21"/>
          <w:szCs w:val="21"/>
        </w:rPr>
        <w:t xml:space="preserve">3.7 </w:t>
      </w:r>
      <w:r>
        <w:rPr>
          <w:rFonts w:hint="eastAsia" w:ascii="黑体" w:hAnsi="黑体" w:eastAsia="黑体"/>
          <w:kern w:val="44"/>
          <w:sz w:val="21"/>
          <w:szCs w:val="21"/>
          <w:lang w:eastAsia="zh-CN"/>
        </w:rPr>
        <w:t xml:space="preserve"> </w:t>
      </w:r>
      <w:r>
        <w:rPr>
          <w:rFonts w:hint="eastAsia" w:ascii="黑体" w:hAnsi="黑体" w:eastAsia="黑体"/>
          <w:kern w:val="44"/>
          <w:sz w:val="21"/>
          <w:szCs w:val="21"/>
        </w:rPr>
        <w:t>接地</w:t>
      </w:r>
    </w:p>
    <w:p>
      <w:pPr>
        <w:spacing w:line="360" w:lineRule="auto"/>
        <w:ind w:firstLine="420" w:firstLineChars="200"/>
      </w:pPr>
      <w:r>
        <w:rPr>
          <w:rFonts w:hint="eastAsia"/>
        </w:rPr>
        <w:t>教室应有可靠的保护接地线，接地电阻应不大于4Ω。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</w:rPr>
      </w:pPr>
      <w:r>
        <w:rPr>
          <w:rFonts w:hint="eastAsia" w:ascii="黑体" w:hAnsi="黑体" w:eastAsia="黑体"/>
          <w:kern w:val="44"/>
          <w:sz w:val="21"/>
          <w:szCs w:val="21"/>
        </w:rPr>
        <w:t>3.8  消防</w:t>
      </w:r>
    </w:p>
    <w:p>
      <w:pPr>
        <w:spacing w:line="360" w:lineRule="auto"/>
        <w:ind w:firstLine="420" w:firstLineChars="200"/>
      </w:pPr>
      <w:r>
        <w:rPr>
          <w:rFonts w:hint="eastAsia"/>
        </w:rPr>
        <w:t>应备有效的消防（防火、防潮、防盗等）设施。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</w:rPr>
      </w:pPr>
      <w:r>
        <w:rPr>
          <w:rFonts w:hint="eastAsia" w:ascii="黑体" w:hAnsi="黑体" w:eastAsia="黑体"/>
          <w:kern w:val="44"/>
          <w:sz w:val="21"/>
          <w:szCs w:val="21"/>
          <w:lang w:eastAsia="zh-CN"/>
        </w:rPr>
        <w:t>3</w:t>
      </w:r>
      <w:r>
        <w:rPr>
          <w:rFonts w:hint="eastAsia" w:ascii="黑体" w:hAnsi="黑体" w:eastAsia="黑体"/>
          <w:kern w:val="44"/>
          <w:sz w:val="21"/>
          <w:szCs w:val="21"/>
        </w:rPr>
        <w:t>.</w:t>
      </w:r>
      <w:r>
        <w:rPr>
          <w:rFonts w:hint="eastAsia" w:ascii="黑体" w:hAnsi="黑体" w:eastAsia="黑体"/>
          <w:kern w:val="44"/>
          <w:sz w:val="21"/>
          <w:szCs w:val="21"/>
          <w:lang w:eastAsia="zh-CN"/>
        </w:rPr>
        <w:t>9</w:t>
      </w:r>
      <w:r>
        <w:rPr>
          <w:rFonts w:ascii="黑体" w:hAnsi="黑体" w:eastAsia="黑体"/>
          <w:kern w:val="44"/>
          <w:sz w:val="21"/>
          <w:szCs w:val="21"/>
        </w:rPr>
        <w:t xml:space="preserve">  </w:t>
      </w:r>
      <w:r>
        <w:rPr>
          <w:rFonts w:hint="eastAsia" w:ascii="黑体" w:hAnsi="黑体" w:eastAsia="黑体"/>
          <w:kern w:val="44"/>
          <w:sz w:val="21"/>
          <w:szCs w:val="21"/>
        </w:rPr>
        <w:t>采光</w:t>
      </w:r>
    </w:p>
    <w:p>
      <w:pPr>
        <w:spacing w:line="360" w:lineRule="auto"/>
        <w:ind w:firstLine="420" w:firstLineChars="200"/>
      </w:pPr>
      <w:r>
        <w:rPr>
          <w:rFonts w:hint="eastAsia"/>
        </w:rPr>
        <w:t>宜采用单侧进光，主要采光面应位于学生座位左侧。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</w:rPr>
      </w:pPr>
      <w:r>
        <w:rPr>
          <w:rFonts w:hint="eastAsia" w:ascii="黑体" w:hAnsi="黑体" w:eastAsia="黑体"/>
          <w:kern w:val="44"/>
          <w:sz w:val="21"/>
          <w:szCs w:val="21"/>
          <w:lang w:eastAsia="zh-CN"/>
        </w:rPr>
        <w:t>3</w:t>
      </w:r>
      <w:r>
        <w:rPr>
          <w:rFonts w:hint="eastAsia" w:ascii="黑体" w:hAnsi="黑体" w:eastAsia="黑体"/>
          <w:kern w:val="44"/>
          <w:sz w:val="21"/>
          <w:szCs w:val="21"/>
        </w:rPr>
        <w:t>.</w:t>
      </w:r>
      <w:r>
        <w:rPr>
          <w:rFonts w:hint="eastAsia" w:ascii="黑体" w:hAnsi="黑体" w:eastAsia="黑体"/>
          <w:kern w:val="44"/>
          <w:sz w:val="21"/>
          <w:szCs w:val="21"/>
          <w:lang w:eastAsia="zh-CN"/>
        </w:rPr>
        <w:t>10</w:t>
      </w:r>
      <w:r>
        <w:rPr>
          <w:rFonts w:hint="eastAsia" w:ascii="黑体" w:hAnsi="黑体" w:eastAsia="黑体"/>
          <w:kern w:val="44"/>
          <w:sz w:val="21"/>
          <w:szCs w:val="21"/>
        </w:rPr>
        <w:t xml:space="preserve">  照明</w:t>
      </w:r>
    </w:p>
    <w:p>
      <w:pPr>
        <w:spacing w:line="360" w:lineRule="auto"/>
        <w:ind w:firstLine="420" w:firstLineChars="200"/>
      </w:pPr>
      <w:r>
        <w:rPr>
          <w:rFonts w:hint="eastAsia"/>
        </w:rPr>
        <w:t>应</w:t>
      </w:r>
      <w:r>
        <w:t>采用</w:t>
      </w:r>
      <w:r>
        <w:rPr>
          <w:rFonts w:hint="eastAsia"/>
        </w:rPr>
        <w:t>冷光源，</w:t>
      </w:r>
      <w:r>
        <w:t>宜采用3300K～5500K色温的三基色荧光灯，电子整流器，显色指数不宜低于80</w:t>
      </w:r>
      <w:r>
        <w:rPr>
          <w:rFonts w:hint="eastAsia"/>
        </w:rPr>
        <w:t>。</w:t>
      </w:r>
    </w:p>
    <w:p>
      <w:pPr>
        <w:spacing w:line="360" w:lineRule="auto"/>
        <w:ind w:firstLine="420" w:firstLineChars="200"/>
      </w:pPr>
      <w:r>
        <w:rPr>
          <w:rFonts w:hint="eastAsia"/>
        </w:rPr>
        <w:t>书写板宜设局部照明，书写板面的平均照度应不低于500lx，照度均匀度不低于0.7。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</w:rPr>
      </w:pPr>
      <w:r>
        <w:rPr>
          <w:rFonts w:hint="eastAsia" w:ascii="黑体" w:hAnsi="黑体" w:eastAsia="黑体"/>
          <w:kern w:val="44"/>
          <w:sz w:val="21"/>
          <w:szCs w:val="21"/>
          <w:lang w:eastAsia="zh-CN"/>
        </w:rPr>
        <w:t>3</w:t>
      </w:r>
      <w:r>
        <w:rPr>
          <w:rFonts w:hint="eastAsia" w:ascii="黑体" w:hAnsi="黑体" w:eastAsia="黑体"/>
          <w:kern w:val="44"/>
          <w:sz w:val="21"/>
          <w:szCs w:val="21"/>
        </w:rPr>
        <w:t>.</w:t>
      </w:r>
      <w:r>
        <w:rPr>
          <w:rFonts w:hint="eastAsia" w:ascii="黑体" w:hAnsi="黑体" w:eastAsia="黑体"/>
          <w:kern w:val="44"/>
          <w:sz w:val="21"/>
          <w:szCs w:val="21"/>
          <w:lang w:eastAsia="zh-CN"/>
        </w:rPr>
        <w:t xml:space="preserve">11 </w:t>
      </w:r>
      <w:r>
        <w:rPr>
          <w:rFonts w:hint="eastAsia" w:ascii="黑体" w:hAnsi="黑体" w:eastAsia="黑体"/>
          <w:kern w:val="44"/>
          <w:sz w:val="21"/>
          <w:szCs w:val="21"/>
        </w:rPr>
        <w:t xml:space="preserve"> 温度</w:t>
      </w:r>
    </w:p>
    <w:p>
      <w:pPr>
        <w:spacing w:line="360" w:lineRule="auto"/>
        <w:ind w:firstLine="420" w:firstLineChars="200"/>
      </w:pPr>
      <w:r>
        <w:rPr>
          <w:rFonts w:hint="eastAsia"/>
        </w:rPr>
        <w:t>当室内安装空气调节设备时，室内温度夏季宜不高于28℃，冬季宜不低于19℃。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</w:rPr>
      </w:pPr>
      <w:r>
        <w:rPr>
          <w:rFonts w:hint="eastAsia" w:ascii="黑体" w:hAnsi="黑体" w:eastAsia="黑体"/>
          <w:kern w:val="44"/>
          <w:sz w:val="21"/>
          <w:szCs w:val="21"/>
          <w:lang w:eastAsia="zh-CN"/>
        </w:rPr>
        <w:t>3</w:t>
      </w:r>
      <w:r>
        <w:rPr>
          <w:rFonts w:hint="eastAsia" w:ascii="黑体" w:hAnsi="黑体" w:eastAsia="黑体"/>
          <w:kern w:val="44"/>
          <w:sz w:val="21"/>
          <w:szCs w:val="21"/>
        </w:rPr>
        <w:t>.</w:t>
      </w:r>
      <w:r>
        <w:rPr>
          <w:rFonts w:hint="eastAsia" w:ascii="黑体" w:hAnsi="黑体" w:eastAsia="黑体"/>
          <w:kern w:val="44"/>
          <w:sz w:val="21"/>
          <w:szCs w:val="21"/>
          <w:lang w:eastAsia="zh-CN"/>
        </w:rPr>
        <w:t>12</w:t>
      </w:r>
      <w:r>
        <w:rPr>
          <w:rFonts w:hint="eastAsia" w:ascii="黑体" w:hAnsi="黑体" w:eastAsia="黑体"/>
          <w:kern w:val="44"/>
          <w:sz w:val="21"/>
          <w:szCs w:val="21"/>
        </w:rPr>
        <w:t xml:space="preserve">  湿度</w:t>
      </w:r>
    </w:p>
    <w:p>
      <w:pPr>
        <w:spacing w:line="360" w:lineRule="auto"/>
        <w:ind w:firstLine="420" w:firstLineChars="200"/>
      </w:pPr>
      <w:r>
        <w:t xml:space="preserve">室内空气的相对湿度宜在50%～70%。 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</w:rPr>
      </w:pPr>
      <w:r>
        <w:rPr>
          <w:rFonts w:hint="eastAsia" w:ascii="黑体" w:hAnsi="黑体" w:eastAsia="黑体"/>
          <w:kern w:val="44"/>
          <w:sz w:val="21"/>
          <w:szCs w:val="21"/>
          <w:lang w:eastAsia="zh-CN"/>
        </w:rPr>
        <w:t>3</w:t>
      </w:r>
      <w:r>
        <w:rPr>
          <w:rFonts w:hint="eastAsia" w:ascii="黑体" w:hAnsi="黑体" w:eastAsia="黑体"/>
          <w:kern w:val="44"/>
          <w:sz w:val="21"/>
          <w:szCs w:val="21"/>
        </w:rPr>
        <w:t>.</w:t>
      </w:r>
      <w:r>
        <w:rPr>
          <w:rFonts w:hint="eastAsia" w:ascii="黑体" w:hAnsi="黑体" w:eastAsia="黑体"/>
          <w:kern w:val="44"/>
          <w:sz w:val="21"/>
          <w:szCs w:val="21"/>
          <w:lang w:eastAsia="zh-CN"/>
        </w:rPr>
        <w:t>13</w:t>
      </w:r>
      <w:r>
        <w:rPr>
          <w:rFonts w:hint="eastAsia" w:ascii="黑体" w:hAnsi="黑体" w:eastAsia="黑体"/>
          <w:kern w:val="44"/>
          <w:sz w:val="21"/>
          <w:szCs w:val="21"/>
        </w:rPr>
        <w:t xml:space="preserve">  通风换气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室内换气次数要求不低于4次/h，根据室内的实际情况采取自然通风或采取各种强制性的通风措施，保持室内二氧化碳浓度低于1.5‰。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</w:rPr>
      </w:pPr>
      <w:r>
        <w:rPr>
          <w:rFonts w:hint="eastAsia" w:ascii="黑体" w:hAnsi="黑体" w:eastAsia="黑体"/>
          <w:kern w:val="44"/>
          <w:sz w:val="21"/>
          <w:szCs w:val="21"/>
          <w:lang w:eastAsia="zh-CN"/>
        </w:rPr>
        <w:t>3</w:t>
      </w:r>
      <w:r>
        <w:rPr>
          <w:rFonts w:hint="eastAsia" w:ascii="黑体" w:hAnsi="黑体" w:eastAsia="黑体"/>
          <w:kern w:val="44"/>
          <w:sz w:val="21"/>
          <w:szCs w:val="21"/>
        </w:rPr>
        <w:t>.</w:t>
      </w:r>
      <w:r>
        <w:rPr>
          <w:rFonts w:hint="eastAsia" w:ascii="黑体" w:hAnsi="黑体" w:eastAsia="黑体"/>
          <w:kern w:val="44"/>
          <w:sz w:val="21"/>
          <w:szCs w:val="21"/>
          <w:lang w:eastAsia="zh-CN"/>
        </w:rPr>
        <w:t>14</w:t>
      </w:r>
      <w:r>
        <w:rPr>
          <w:rFonts w:hint="eastAsia" w:ascii="黑体" w:hAnsi="黑体" w:eastAsia="黑体"/>
          <w:kern w:val="44"/>
          <w:sz w:val="21"/>
          <w:szCs w:val="21"/>
        </w:rPr>
        <w:t xml:space="preserve">  环保</w:t>
      </w:r>
    </w:p>
    <w:p>
      <w:pPr>
        <w:spacing w:line="360" w:lineRule="auto"/>
        <w:ind w:firstLine="420" w:firstLineChars="200"/>
      </w:pPr>
      <w:r>
        <w:rPr>
          <w:rFonts w:hint="eastAsia"/>
        </w:rPr>
        <w:t>新建、改建、扩建的专用教室，甲醛、苯、氡等有害气体和放射性污染应符合GB 18580-2001、GB 18581-2001、GB 18583-2001、GB 18584-2001标准中的限量值。</w:t>
      </w:r>
    </w:p>
    <w:p>
      <w:pPr>
        <w:pStyle w:val="2"/>
        <w:spacing w:before="0" w:after="0" w:line="720" w:lineRule="auto"/>
        <w:rPr>
          <w:rFonts w:ascii="黑体" w:hAnsi="黑体" w:eastAsia="黑体"/>
          <w:sz w:val="21"/>
          <w:szCs w:val="21"/>
          <w:lang w:val="zh-CN" w:eastAsia="zh-CN"/>
        </w:rPr>
      </w:pPr>
      <w:r>
        <w:rPr>
          <w:rFonts w:hint="eastAsia" w:ascii="黑体" w:hAnsi="黑体" w:eastAsia="黑体"/>
          <w:sz w:val="21"/>
          <w:szCs w:val="21"/>
          <w:lang w:val="zh-CN"/>
        </w:rPr>
        <w:t>4</w:t>
      </w:r>
      <w:r>
        <w:rPr>
          <w:rFonts w:hint="eastAsia" w:ascii="黑体" w:hAnsi="黑体" w:eastAsia="黑体"/>
          <w:sz w:val="21"/>
          <w:szCs w:val="21"/>
          <w:lang w:val="zh-CN" w:eastAsia="zh-CN"/>
        </w:rPr>
        <w:t xml:space="preserve">  </w:t>
      </w:r>
      <w:r>
        <w:rPr>
          <w:rFonts w:ascii="黑体" w:hAnsi="黑体" w:eastAsia="黑体"/>
          <w:sz w:val="21"/>
          <w:szCs w:val="21"/>
          <w:lang w:val="zh-CN" w:eastAsia="zh-CN"/>
        </w:rPr>
        <w:t>装备</w:t>
      </w:r>
      <w:r>
        <w:rPr>
          <w:rFonts w:hint="eastAsia" w:ascii="黑体" w:hAnsi="黑体" w:eastAsia="黑体"/>
          <w:sz w:val="21"/>
          <w:szCs w:val="21"/>
          <w:lang w:val="zh-CN" w:eastAsia="zh-CN"/>
        </w:rPr>
        <w:t>内容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</w:rPr>
      </w:pPr>
      <w:r>
        <w:rPr>
          <w:rFonts w:hint="eastAsia" w:ascii="黑体" w:hAnsi="黑体" w:eastAsia="黑体"/>
          <w:kern w:val="44"/>
          <w:sz w:val="21"/>
          <w:szCs w:val="21"/>
          <w:lang w:eastAsia="zh-CN"/>
        </w:rPr>
        <w:t>4</w:t>
      </w:r>
      <w:r>
        <w:rPr>
          <w:rFonts w:hint="eastAsia" w:ascii="黑体" w:hAnsi="黑体" w:eastAsia="黑体"/>
          <w:kern w:val="44"/>
          <w:sz w:val="21"/>
          <w:szCs w:val="21"/>
        </w:rPr>
        <w:t>.</w:t>
      </w:r>
      <w:r>
        <w:rPr>
          <w:rFonts w:hint="eastAsia" w:ascii="黑体" w:hAnsi="黑体" w:eastAsia="黑体"/>
          <w:kern w:val="44"/>
          <w:sz w:val="21"/>
          <w:szCs w:val="21"/>
          <w:lang w:eastAsia="zh-CN"/>
        </w:rPr>
        <w:t>1</w:t>
      </w:r>
      <w:r>
        <w:rPr>
          <w:rFonts w:hint="eastAsia" w:ascii="黑体" w:hAnsi="黑体" w:eastAsia="黑体"/>
          <w:kern w:val="44"/>
          <w:sz w:val="21"/>
          <w:szCs w:val="21"/>
        </w:rPr>
        <w:t xml:space="preserve">  装备设备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</w:rPr>
        <w:t>学生人数45人示例，学生以每5人为一套，详细配备见表1，</w:t>
      </w:r>
      <w:r>
        <w:rPr>
          <w:rFonts w:hint="eastAsia"/>
          <w:szCs w:val="21"/>
        </w:rPr>
        <w:t>学校可根据实际情况选择性配备，且不限于此表。</w:t>
      </w:r>
    </w:p>
    <w:p>
      <w:pPr>
        <w:spacing w:line="360" w:lineRule="auto"/>
        <w:ind w:firstLine="420" w:firstLineChars="200"/>
        <w:jc w:val="center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表1</w:t>
      </w:r>
      <w:r>
        <w:rPr>
          <w:rFonts w:hint="eastAsia" w:asciiTheme="minorEastAsia" w:hAnsiTheme="minorEastAsia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Theme="minorEastAsia" w:hAnsiTheme="minorEastAsia"/>
        </w:rPr>
        <w:t>配备要求</w:t>
      </w:r>
    </w:p>
    <w:tbl>
      <w:tblPr>
        <w:tblStyle w:val="11"/>
        <w:tblW w:w="8698" w:type="dxa"/>
        <w:jc w:val="center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1105"/>
        <w:gridCol w:w="4575"/>
        <w:gridCol w:w="1014"/>
        <w:gridCol w:w="11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1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序号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产品名称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功能规格</w:t>
            </w:r>
          </w:p>
        </w:tc>
        <w:tc>
          <w:tcPr>
            <w:tcW w:w="1014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单位</w:t>
            </w:r>
          </w:p>
        </w:tc>
        <w:tc>
          <w:tcPr>
            <w:tcW w:w="1193" w:type="dxa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配备数量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98" w:type="dxa"/>
            <w:gridSpan w:val="5"/>
            <w:shd w:val="clear" w:color="auto" w:fill="auto"/>
            <w:vAlign w:val="center"/>
          </w:tcPr>
          <w:p>
            <w:pPr>
              <w:pStyle w:val="13"/>
              <w:ind w:firstLine="0" w:firstLineChars="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一、多媒体设备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1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教师用，满足教学需求。</w:t>
            </w:r>
          </w:p>
        </w:tc>
        <w:tc>
          <w:tcPr>
            <w:tcW w:w="1014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台</w:t>
            </w:r>
          </w:p>
        </w:tc>
        <w:tc>
          <w:tcPr>
            <w:tcW w:w="1193" w:type="dxa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1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多媒体中控系统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00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内置VGA切换分配器，支持台式电脑、手提电脑、数字展台输入；内置音频输入</w:t>
            </w:r>
            <w:r>
              <w:rPr>
                <w:rFonts w:ascii="宋体" w:hAnsi="宋体" w:eastAsia="宋体"/>
                <w:szCs w:val="21"/>
              </w:rPr>
              <w:t>输出</w:t>
            </w:r>
            <w:r>
              <w:rPr>
                <w:rFonts w:hint="eastAsia" w:ascii="宋体" w:hAnsi="宋体" w:eastAsia="宋体"/>
                <w:szCs w:val="21"/>
              </w:rPr>
              <w:t>接口；面板有</w:t>
            </w:r>
            <w:r>
              <w:rPr>
                <w:rFonts w:ascii="宋体" w:hAnsi="宋体" w:eastAsia="宋体"/>
                <w:szCs w:val="21"/>
              </w:rPr>
              <w:t>各设备</w:t>
            </w:r>
            <w:r>
              <w:rPr>
                <w:rFonts w:hint="eastAsia" w:ascii="宋体" w:hAnsi="宋体" w:eastAsia="宋体"/>
                <w:szCs w:val="21"/>
              </w:rPr>
              <w:t>开关按键控制</w:t>
            </w:r>
          </w:p>
        </w:tc>
        <w:tc>
          <w:tcPr>
            <w:tcW w:w="1014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台</w:t>
            </w:r>
          </w:p>
        </w:tc>
        <w:tc>
          <w:tcPr>
            <w:tcW w:w="1193" w:type="dxa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1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功放系统及音箱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功放支持3路话筒和2路音频输入，1路输出；吸顶音箱1个；</w:t>
            </w:r>
            <w:r>
              <w:rPr>
                <w:rFonts w:ascii="宋体" w:hAnsi="宋体" w:eastAsia="宋体"/>
                <w:szCs w:val="21"/>
              </w:rPr>
              <w:t>无线话筒</w:t>
            </w:r>
            <w:r>
              <w:rPr>
                <w:rFonts w:hint="eastAsia" w:ascii="宋体" w:hAnsi="宋体" w:eastAsia="宋体"/>
                <w:szCs w:val="21"/>
              </w:rPr>
              <w:t>3个</w:t>
            </w:r>
          </w:p>
        </w:tc>
        <w:tc>
          <w:tcPr>
            <w:tcW w:w="1014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套</w:t>
            </w:r>
          </w:p>
        </w:tc>
        <w:tc>
          <w:tcPr>
            <w:tcW w:w="1193" w:type="dxa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1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投影机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符合演示环境，亮度合适</w:t>
            </w:r>
          </w:p>
        </w:tc>
        <w:tc>
          <w:tcPr>
            <w:tcW w:w="1014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台</w:t>
            </w:r>
          </w:p>
        </w:tc>
        <w:tc>
          <w:tcPr>
            <w:tcW w:w="1193" w:type="dxa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1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</w:t>
            </w:r>
            <w:r>
              <w:rPr>
                <w:rFonts w:ascii="宋体" w:hAnsi="宋体"/>
                <w:szCs w:val="21"/>
              </w:rPr>
              <w:t>白板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有效触控区尺寸3420mm×1295mm </w:t>
            </w:r>
          </w:p>
        </w:tc>
        <w:tc>
          <w:tcPr>
            <w:tcW w:w="1014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套</w:t>
            </w:r>
          </w:p>
        </w:tc>
        <w:tc>
          <w:tcPr>
            <w:tcW w:w="1193" w:type="dxa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1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</w:t>
            </w:r>
          </w:p>
        </w:tc>
        <w:tc>
          <w:tcPr>
            <w:tcW w:w="1105" w:type="dxa"/>
            <w:shd w:val="clear" w:color="auto" w:fill="auto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交换机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24口网络交换机</w:t>
            </w:r>
          </w:p>
        </w:tc>
        <w:tc>
          <w:tcPr>
            <w:tcW w:w="1014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套</w:t>
            </w:r>
          </w:p>
        </w:tc>
        <w:tc>
          <w:tcPr>
            <w:tcW w:w="1193" w:type="dxa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1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路由器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提供教室无线网络、并可提供外网网络接入</w:t>
            </w:r>
          </w:p>
        </w:tc>
        <w:tc>
          <w:tcPr>
            <w:tcW w:w="1014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套</w:t>
            </w:r>
          </w:p>
        </w:tc>
        <w:tc>
          <w:tcPr>
            <w:tcW w:w="1193" w:type="dxa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98" w:type="dxa"/>
            <w:gridSpan w:val="5"/>
            <w:shd w:val="clear" w:color="auto" w:fill="auto"/>
            <w:vAlign w:val="center"/>
          </w:tcPr>
          <w:p>
            <w:pPr>
              <w:pStyle w:val="13"/>
              <w:ind w:firstLine="0"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二、教学硬件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1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9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VR教学图形工作站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0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满足VR教学需求，安装正版软件</w:t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</w:p>
        </w:tc>
        <w:tc>
          <w:tcPr>
            <w:tcW w:w="1014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套</w:t>
            </w:r>
          </w:p>
        </w:tc>
        <w:tc>
          <w:tcPr>
            <w:tcW w:w="1193" w:type="dxa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1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交互式</w:t>
            </w:r>
            <w:r>
              <w:rPr>
                <w:rFonts w:ascii="宋体" w:hAnsi="宋体"/>
                <w:szCs w:val="21"/>
              </w:rPr>
              <w:t>VR</w:t>
            </w:r>
            <w:r>
              <w:rPr>
                <w:rFonts w:hint="eastAsia" w:ascii="宋体" w:hAnsi="宋体"/>
                <w:szCs w:val="21"/>
              </w:rPr>
              <w:t>眼镜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满足VR教学需求</w:t>
            </w:r>
          </w:p>
        </w:tc>
        <w:tc>
          <w:tcPr>
            <w:tcW w:w="1014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套</w:t>
            </w:r>
          </w:p>
        </w:tc>
        <w:tc>
          <w:tcPr>
            <w:tcW w:w="1193" w:type="dxa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98" w:type="dxa"/>
            <w:gridSpan w:val="5"/>
            <w:shd w:val="clear" w:color="auto" w:fill="auto"/>
            <w:vAlign w:val="center"/>
          </w:tcPr>
          <w:p>
            <w:pPr>
              <w:pStyle w:val="13"/>
              <w:ind w:firstLine="0"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三、教学软件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1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11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VR</w:t>
            </w:r>
            <w:r>
              <w:rPr>
                <w:rFonts w:hint="eastAsia" w:ascii="宋体" w:hAnsi="宋体"/>
                <w:szCs w:val="21"/>
              </w:rPr>
              <w:t>编辑器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支持制作VR资源，提供制作VR资源的素材库</w:t>
            </w:r>
          </w:p>
        </w:tc>
        <w:tc>
          <w:tcPr>
            <w:tcW w:w="1014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套</w:t>
            </w:r>
          </w:p>
        </w:tc>
        <w:tc>
          <w:tcPr>
            <w:tcW w:w="1193" w:type="dxa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1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12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VR</w:t>
            </w:r>
            <w:r>
              <w:rPr>
                <w:rFonts w:hint="eastAsia" w:ascii="宋体" w:hAnsi="宋体"/>
                <w:szCs w:val="21"/>
              </w:rPr>
              <w:t>室内设计教学平台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满足师生开展室内设计的教学需求</w:t>
            </w:r>
          </w:p>
        </w:tc>
        <w:tc>
          <w:tcPr>
            <w:tcW w:w="1014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套</w:t>
            </w:r>
          </w:p>
        </w:tc>
        <w:tc>
          <w:tcPr>
            <w:tcW w:w="1193" w:type="dxa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98" w:type="dxa"/>
            <w:gridSpan w:val="5"/>
            <w:shd w:val="clear" w:color="auto" w:fill="auto"/>
            <w:vAlign w:val="center"/>
          </w:tcPr>
          <w:p>
            <w:pPr>
              <w:pStyle w:val="13"/>
              <w:ind w:firstLine="0"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四、配套教材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1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13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教材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满足教师开展VR教学的需求</w:t>
            </w:r>
          </w:p>
        </w:tc>
        <w:tc>
          <w:tcPr>
            <w:tcW w:w="1014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</w:t>
            </w:r>
          </w:p>
        </w:tc>
        <w:tc>
          <w:tcPr>
            <w:tcW w:w="1193" w:type="dxa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98" w:type="dxa"/>
            <w:gridSpan w:val="5"/>
            <w:shd w:val="clear" w:color="auto" w:fill="auto"/>
            <w:vAlign w:val="center"/>
          </w:tcPr>
          <w:p>
            <w:pPr>
              <w:pStyle w:val="13"/>
              <w:ind w:firstLine="0"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五、基础设施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1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14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桌椅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五边型桌，E</w:t>
            </w:r>
            <w:r>
              <w:rPr>
                <w:rFonts w:ascii="宋体" w:hAnsi="宋体"/>
                <w:szCs w:val="21"/>
              </w:rPr>
              <w:t>1</w:t>
            </w:r>
            <w:r>
              <w:rPr>
                <w:rFonts w:hint="eastAsia" w:ascii="宋体" w:hAnsi="宋体"/>
                <w:szCs w:val="21"/>
              </w:rPr>
              <w:t>级环保板材，精选钢架，优质五金套件，可长久使用不变形，支持液压翻转</w:t>
            </w:r>
          </w:p>
        </w:tc>
        <w:tc>
          <w:tcPr>
            <w:tcW w:w="1014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套</w:t>
            </w:r>
          </w:p>
        </w:tc>
        <w:tc>
          <w:tcPr>
            <w:tcW w:w="1193" w:type="dxa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1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15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教师讲台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能放置</w:t>
            </w:r>
            <w:r>
              <w:rPr>
                <w:rFonts w:ascii="宋体" w:hAnsi="宋体"/>
                <w:szCs w:val="21"/>
              </w:rPr>
              <w:t>计算机，中控，功放</w:t>
            </w:r>
            <w:r>
              <w:rPr>
                <w:rFonts w:hint="eastAsia" w:ascii="宋体" w:hAnsi="宋体"/>
                <w:szCs w:val="21"/>
              </w:rPr>
              <w:t>，包含教师用凳子</w:t>
            </w:r>
          </w:p>
        </w:tc>
        <w:tc>
          <w:tcPr>
            <w:tcW w:w="1014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台</w:t>
            </w:r>
          </w:p>
        </w:tc>
        <w:tc>
          <w:tcPr>
            <w:tcW w:w="1193" w:type="dxa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98" w:type="dxa"/>
            <w:gridSpan w:val="5"/>
            <w:shd w:val="clear" w:color="auto" w:fill="auto"/>
            <w:vAlign w:val="center"/>
          </w:tcPr>
          <w:p>
            <w:pPr>
              <w:pStyle w:val="13"/>
              <w:ind w:firstLine="0"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六、环境建设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1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16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挂图灯箱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铝合金成型灯箱，图片可替换式，Led光源</w:t>
            </w:r>
          </w:p>
        </w:tc>
        <w:tc>
          <w:tcPr>
            <w:tcW w:w="1014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</w:t>
            </w:r>
          </w:p>
        </w:tc>
        <w:tc>
          <w:tcPr>
            <w:tcW w:w="1193" w:type="dxa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若干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1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17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挂图灯箱片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地理</w:t>
            </w:r>
            <w:r>
              <w:rPr>
                <w:rFonts w:ascii="宋体" w:hAnsi="宋体"/>
                <w:szCs w:val="21"/>
              </w:rPr>
              <w:t>学科相关</w:t>
            </w:r>
            <w:r>
              <w:rPr>
                <w:rFonts w:hint="eastAsia" w:ascii="宋体" w:hAnsi="宋体"/>
                <w:szCs w:val="21"/>
              </w:rPr>
              <w:t>灯箱片， 1440dpi高清晰度，覆亮膜</w:t>
            </w:r>
          </w:p>
        </w:tc>
        <w:tc>
          <w:tcPr>
            <w:tcW w:w="1014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张</w:t>
            </w:r>
          </w:p>
        </w:tc>
        <w:tc>
          <w:tcPr>
            <w:tcW w:w="1193" w:type="dxa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若干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1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18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知识窗帘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卷帘式，印制介绍中国和世界地理气候、地理知识等内容</w:t>
            </w:r>
          </w:p>
        </w:tc>
        <w:tc>
          <w:tcPr>
            <w:tcW w:w="1014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</w:t>
            </w:r>
          </w:p>
        </w:tc>
        <w:tc>
          <w:tcPr>
            <w:tcW w:w="1193" w:type="dxa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若干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1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19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知识展板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地理图片、配边框，装饰墙面</w:t>
            </w:r>
          </w:p>
        </w:tc>
        <w:tc>
          <w:tcPr>
            <w:tcW w:w="1014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张</w:t>
            </w:r>
          </w:p>
        </w:tc>
        <w:tc>
          <w:tcPr>
            <w:tcW w:w="1193" w:type="dxa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若干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1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天花工程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石膏板天花吊顶，38轻钢龙骨，12mm纸面石膏板，局部软膜灯箱</w:t>
            </w:r>
          </w:p>
        </w:tc>
        <w:tc>
          <w:tcPr>
            <w:tcW w:w="1014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平方</w:t>
            </w:r>
          </w:p>
        </w:tc>
        <w:tc>
          <w:tcPr>
            <w:tcW w:w="1193" w:type="dxa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若干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1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21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墙面工程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墙面造型，墙面乳胶漆，饰面隔板，局部车贴喷绘或壁纸</w:t>
            </w:r>
          </w:p>
        </w:tc>
        <w:tc>
          <w:tcPr>
            <w:tcW w:w="1014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平方</w:t>
            </w:r>
          </w:p>
        </w:tc>
        <w:tc>
          <w:tcPr>
            <w:tcW w:w="1193" w:type="dxa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若干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1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22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地面工程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地面找平处理、地胶、PVC踢脚线安装</w:t>
            </w:r>
          </w:p>
        </w:tc>
        <w:tc>
          <w:tcPr>
            <w:tcW w:w="1014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平方</w:t>
            </w:r>
          </w:p>
        </w:tc>
        <w:tc>
          <w:tcPr>
            <w:tcW w:w="1193" w:type="dxa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若干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1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23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强弱电布线工程部分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电路改造（强弱电综合布线）、开关面板及墙地面插座、灯具、LED灯带</w:t>
            </w:r>
          </w:p>
        </w:tc>
        <w:tc>
          <w:tcPr>
            <w:tcW w:w="1014" w:type="dxa"/>
            <w:shd w:val="clear" w:color="auto" w:fill="auto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套 </w:t>
            </w:r>
          </w:p>
        </w:tc>
        <w:tc>
          <w:tcPr>
            <w:tcW w:w="1193" w:type="dxa"/>
            <w:vAlign w:val="center"/>
          </w:tcPr>
          <w:p>
            <w:pPr>
              <w:pStyle w:val="13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</w:tbl>
    <w:p>
      <w:pPr>
        <w:adjustRightInd w:val="0"/>
        <w:snapToGrid w:val="0"/>
        <w:rPr>
          <w:szCs w:val="21"/>
        </w:rPr>
      </w:pPr>
    </w:p>
    <w:p>
      <w:pPr>
        <w:pStyle w:val="2"/>
        <w:spacing w:before="0" w:after="0" w:line="720" w:lineRule="auto"/>
        <w:rPr>
          <w:rFonts w:ascii="黑体" w:hAnsi="黑体" w:eastAsia="黑体"/>
          <w:sz w:val="21"/>
          <w:szCs w:val="21"/>
          <w:lang w:val="zh-CN" w:eastAsia="zh-CN"/>
        </w:rPr>
      </w:pPr>
      <w:r>
        <w:rPr>
          <w:rFonts w:hint="eastAsia" w:ascii="黑体" w:hAnsi="黑体" w:eastAsia="黑体"/>
          <w:sz w:val="21"/>
          <w:szCs w:val="21"/>
          <w:lang w:val="zh-CN"/>
        </w:rPr>
        <w:t>5</w:t>
      </w:r>
      <w:r>
        <w:rPr>
          <w:rFonts w:hint="eastAsia" w:ascii="黑体" w:hAnsi="黑体" w:eastAsia="黑体"/>
          <w:sz w:val="21"/>
          <w:szCs w:val="21"/>
          <w:lang w:val="zh-CN" w:eastAsia="zh-CN"/>
        </w:rPr>
        <w:t xml:space="preserve">  安装要求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</w:rPr>
      </w:pPr>
      <w:r>
        <w:rPr>
          <w:rFonts w:hint="eastAsia" w:ascii="黑体" w:hAnsi="黑体" w:eastAsia="黑体"/>
          <w:kern w:val="44"/>
          <w:sz w:val="21"/>
          <w:szCs w:val="21"/>
          <w:lang w:eastAsia="zh-CN"/>
        </w:rPr>
        <w:t>5</w:t>
      </w:r>
      <w:r>
        <w:rPr>
          <w:rFonts w:hint="eastAsia" w:ascii="黑体" w:hAnsi="黑体" w:eastAsia="黑体"/>
          <w:kern w:val="44"/>
          <w:sz w:val="21"/>
          <w:szCs w:val="21"/>
        </w:rPr>
        <w:t>.1  室内装饰</w:t>
      </w:r>
    </w:p>
    <w:p>
      <w:pPr>
        <w:spacing w:line="360" w:lineRule="auto"/>
        <w:ind w:firstLine="420" w:firstLineChars="200"/>
      </w:pPr>
      <w:r>
        <w:t>室内装饰</w:t>
      </w:r>
      <w:r>
        <w:rPr>
          <w:rFonts w:hint="eastAsia"/>
        </w:rPr>
        <w:t>要温馨、健康、舒适。色彩要柔和，以淡黄、米色、淡橙等暖色调为主，也可以适当使用淡绿和淡蓝色。光线要适中，自然光、灯光的强度、颜色合理。室内外隔音要好。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</w:rPr>
      </w:pPr>
      <w:r>
        <w:rPr>
          <w:rFonts w:hint="eastAsia" w:ascii="黑体" w:hAnsi="黑体" w:eastAsia="黑体"/>
          <w:kern w:val="44"/>
          <w:sz w:val="21"/>
          <w:szCs w:val="21"/>
          <w:lang w:eastAsia="zh-CN"/>
        </w:rPr>
        <w:t>5</w:t>
      </w:r>
      <w:r>
        <w:rPr>
          <w:rFonts w:hint="eastAsia" w:ascii="黑体" w:hAnsi="黑体" w:eastAsia="黑体"/>
          <w:kern w:val="44"/>
          <w:sz w:val="21"/>
          <w:szCs w:val="21"/>
        </w:rPr>
        <w:t>.2  多媒体系统安装</w:t>
      </w:r>
    </w:p>
    <w:p>
      <w:pPr>
        <w:spacing w:line="360" w:lineRule="auto"/>
        <w:ind w:firstLine="420" w:firstLineChars="200"/>
      </w:pPr>
      <w:r>
        <w:rPr>
          <w:rFonts w:hint="eastAsia"/>
        </w:rPr>
        <w:t>电子白板、</w:t>
      </w:r>
      <w:r>
        <w:t>投影机等壁装和顶装设备的</w:t>
      </w:r>
      <w:r>
        <w:rPr>
          <w:rFonts w:hint="eastAsia"/>
        </w:rPr>
        <w:t>安装支架应承受自身重量的五倍。</w:t>
      </w:r>
    </w:p>
    <w:p>
      <w:pPr>
        <w:spacing w:line="360" w:lineRule="auto"/>
        <w:ind w:firstLine="420" w:firstLineChars="200"/>
      </w:pPr>
      <w:r>
        <w:t>电子白板</w:t>
      </w:r>
      <w:r>
        <w:rPr>
          <w:rFonts w:hint="eastAsia"/>
        </w:rPr>
        <w:t>安装位置宜在书写板的左侧、离地高度800mm～1100mm左右；投影机安装应符合设备设计要求。</w:t>
      </w:r>
    </w:p>
    <w:p>
      <w:pPr>
        <w:spacing w:line="360" w:lineRule="auto"/>
        <w:ind w:firstLine="420" w:firstLineChars="200"/>
      </w:pPr>
      <w:r>
        <w:rPr>
          <w:rFonts w:hint="eastAsia"/>
        </w:rPr>
        <w:t>计算机、显示器等多媒体设备应按产品说明书要求安装到位并固定；各固定件、线缆连接正确；各电缆线连接应按施工设计图纸要求，端口（插头）应留有标记。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</w:rPr>
      </w:pPr>
      <w:r>
        <w:rPr>
          <w:rFonts w:hint="eastAsia" w:ascii="黑体" w:hAnsi="黑体" w:eastAsia="黑体"/>
          <w:kern w:val="44"/>
          <w:sz w:val="21"/>
          <w:szCs w:val="21"/>
          <w:lang w:eastAsia="zh-CN"/>
        </w:rPr>
        <w:t>5</w:t>
      </w:r>
      <w:r>
        <w:rPr>
          <w:rFonts w:hint="eastAsia" w:ascii="黑体" w:hAnsi="黑体" w:eastAsia="黑体"/>
          <w:kern w:val="44"/>
          <w:sz w:val="21"/>
          <w:szCs w:val="21"/>
        </w:rPr>
        <w:t xml:space="preserve">.3 </w:t>
      </w:r>
      <w:r>
        <w:rPr>
          <w:rFonts w:ascii="黑体" w:hAnsi="黑体" w:eastAsia="黑体"/>
          <w:kern w:val="44"/>
          <w:sz w:val="21"/>
          <w:szCs w:val="21"/>
        </w:rPr>
        <w:t xml:space="preserve"> </w:t>
      </w:r>
      <w:r>
        <w:rPr>
          <w:rFonts w:hint="eastAsia" w:ascii="黑体" w:hAnsi="黑体" w:eastAsia="黑体"/>
          <w:kern w:val="44"/>
          <w:sz w:val="21"/>
          <w:szCs w:val="21"/>
        </w:rPr>
        <w:t>设备安装要求</w:t>
      </w:r>
    </w:p>
    <w:p>
      <w:pPr>
        <w:spacing w:line="360" w:lineRule="auto"/>
        <w:ind w:firstLine="420" w:firstLineChars="200"/>
      </w:pPr>
      <w:r>
        <w:rPr>
          <w:rFonts w:hint="eastAsia"/>
        </w:rPr>
        <w:t>设备壁</w:t>
      </w:r>
      <w:r>
        <w:t>装</w:t>
      </w:r>
      <w:r>
        <w:rPr>
          <w:rFonts w:hint="eastAsia"/>
        </w:rPr>
        <w:t>或</w:t>
      </w:r>
      <w:r>
        <w:t>顶装时，</w:t>
      </w:r>
      <w:r>
        <w:rPr>
          <w:rFonts w:hint="eastAsia"/>
        </w:rPr>
        <w:t>应安装在实体墙面。安装的承受力应不小于自身重量的5倍。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</w:rPr>
      </w:pPr>
      <w:r>
        <w:rPr>
          <w:rFonts w:hint="eastAsia" w:ascii="黑体" w:hAnsi="黑体" w:eastAsia="黑体"/>
          <w:kern w:val="44"/>
          <w:sz w:val="21"/>
          <w:szCs w:val="21"/>
          <w:lang w:eastAsia="zh-CN"/>
        </w:rPr>
        <w:t>5</w:t>
      </w:r>
      <w:r>
        <w:rPr>
          <w:rFonts w:hint="eastAsia" w:ascii="黑体" w:hAnsi="黑体" w:eastAsia="黑体"/>
          <w:kern w:val="44"/>
          <w:sz w:val="21"/>
          <w:szCs w:val="21"/>
        </w:rPr>
        <w:t xml:space="preserve">.4  管（槽）敷设  </w:t>
      </w:r>
    </w:p>
    <w:p>
      <w:pPr>
        <w:spacing w:line="360" w:lineRule="auto"/>
        <w:ind w:firstLine="420" w:firstLineChars="200"/>
      </w:pPr>
      <w:r>
        <w:rPr>
          <w:rFonts w:hint="eastAsia"/>
        </w:rPr>
        <w:t>管（槽）敷设应横平竖直；管(槽)体沿建筑物表面进行固定，直线两固定点间距≤0.5 m；管（槽）端口处应有固定措施，无扭曲、翘边和变形。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</w:rPr>
      </w:pPr>
      <w:r>
        <w:rPr>
          <w:rFonts w:hint="eastAsia" w:ascii="黑体" w:hAnsi="黑体" w:eastAsia="黑体"/>
          <w:kern w:val="44"/>
          <w:sz w:val="21"/>
          <w:szCs w:val="21"/>
          <w:lang w:eastAsia="zh-CN"/>
        </w:rPr>
        <w:t>5</w:t>
      </w:r>
      <w:r>
        <w:rPr>
          <w:rFonts w:hint="eastAsia" w:ascii="黑体" w:hAnsi="黑体" w:eastAsia="黑体"/>
          <w:kern w:val="44"/>
          <w:sz w:val="21"/>
          <w:szCs w:val="21"/>
        </w:rPr>
        <w:t>.5  线缆</w:t>
      </w:r>
      <w:r>
        <w:rPr>
          <w:rFonts w:ascii="黑体" w:hAnsi="黑体" w:eastAsia="黑体"/>
          <w:kern w:val="44"/>
          <w:sz w:val="21"/>
          <w:szCs w:val="21"/>
        </w:rPr>
        <w:t>敷设</w:t>
      </w:r>
    </w:p>
    <w:p>
      <w:pPr>
        <w:spacing w:line="360" w:lineRule="auto"/>
        <w:ind w:firstLine="420" w:firstLineChars="200"/>
      </w:pPr>
      <w:r>
        <w:rPr>
          <w:rFonts w:hint="eastAsia"/>
        </w:rPr>
        <w:t>所有电力线缆应采用整根，中间无连接，绝缘无破损的电线。电力线和信号线应分开敷设,电力线和信号线应分开敷设，电缆线应用尼龙绑扎带绑扎，并绑扎牢固和整齐，在线管（槽）内的电缆线应无扭结和损伤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</w:rPr>
      </w:pPr>
      <w:r>
        <w:rPr>
          <w:rFonts w:hint="eastAsia" w:ascii="黑体" w:hAnsi="黑体" w:eastAsia="黑体"/>
          <w:kern w:val="44"/>
          <w:sz w:val="21"/>
          <w:szCs w:val="21"/>
          <w:lang w:eastAsia="zh-CN"/>
        </w:rPr>
        <w:t>5</w:t>
      </w:r>
      <w:r>
        <w:rPr>
          <w:rFonts w:hint="eastAsia" w:ascii="黑体" w:hAnsi="黑体" w:eastAsia="黑体"/>
          <w:kern w:val="44"/>
          <w:sz w:val="21"/>
          <w:szCs w:val="21"/>
        </w:rPr>
        <w:t>.6  接地</w:t>
      </w:r>
    </w:p>
    <w:p>
      <w:pPr>
        <w:spacing w:line="360" w:lineRule="auto"/>
        <w:ind w:firstLine="420" w:firstLineChars="200"/>
      </w:pPr>
      <w:r>
        <w:rPr>
          <w:rFonts w:hint="eastAsia"/>
        </w:rPr>
        <w:t>设备接地装置（铜接线端子或</w:t>
      </w:r>
      <w:r>
        <w:fldChar w:fldCharType="begin"/>
      </w:r>
      <w:r>
        <w:instrText xml:space="preserve"> HYPERLINK "http://www.bidcenter.com.cn/newscontent-3175086-1.html" \t "_blank" </w:instrText>
      </w:r>
      <w:r>
        <w:fldChar w:fldCharType="separate"/>
      </w:r>
      <w:r>
        <w:rPr>
          <w:rFonts w:hint="eastAsia"/>
        </w:rPr>
        <w:t>铜鼻子</w:t>
      </w:r>
      <w:r>
        <w:rPr>
          <w:rFonts w:hint="eastAsia"/>
        </w:rPr>
        <w:fldChar w:fldCharType="end"/>
      </w:r>
      <w:r>
        <w:rPr>
          <w:rFonts w:hint="eastAsia"/>
        </w:rPr>
        <w:t>）应规范，铜接线端子与电缆线用不小于20N的力检查，无松动现象；</w:t>
      </w:r>
    </w:p>
    <w:p>
      <w:pPr>
        <w:spacing w:line="360" w:lineRule="auto"/>
        <w:ind w:firstLine="420" w:firstLineChars="200"/>
      </w:pPr>
      <w:r>
        <w:rPr>
          <w:rFonts w:hint="eastAsia"/>
        </w:rPr>
        <w:t>设备与移动机柜系统接地电阻应小于0.1Ω。</w:t>
      </w:r>
    </w:p>
    <w:p>
      <w:pPr>
        <w:pStyle w:val="2"/>
        <w:numPr>
          <w:ilvl w:val="0"/>
          <w:numId w:val="2"/>
        </w:numPr>
        <w:spacing w:before="0" w:after="0" w:line="720" w:lineRule="auto"/>
        <w:rPr>
          <w:rFonts w:ascii="黑体" w:hAnsi="黑体" w:eastAsia="黑体"/>
          <w:sz w:val="21"/>
          <w:szCs w:val="21"/>
          <w:lang w:val="zh-CN" w:eastAsia="zh-CN"/>
        </w:rPr>
      </w:pPr>
      <w:r>
        <w:rPr>
          <w:rFonts w:hint="eastAsia" w:ascii="黑体" w:hAnsi="黑体" w:eastAsia="黑体"/>
          <w:sz w:val="21"/>
          <w:szCs w:val="21"/>
          <w:lang w:val="zh-CN"/>
        </w:rPr>
        <w:t xml:space="preserve"> </w:t>
      </w:r>
      <w:r>
        <w:rPr>
          <w:rFonts w:ascii="黑体" w:hAnsi="黑体" w:eastAsia="黑体"/>
          <w:sz w:val="21"/>
          <w:szCs w:val="21"/>
          <w:lang w:val="zh-CN" w:eastAsia="zh-CN"/>
        </w:rPr>
        <w:t>管理要求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</w:rPr>
      </w:pPr>
      <w:r>
        <w:rPr>
          <w:rFonts w:hint="eastAsia" w:ascii="黑体" w:hAnsi="黑体" w:eastAsia="黑体"/>
          <w:kern w:val="44"/>
          <w:sz w:val="21"/>
          <w:szCs w:val="21"/>
          <w:lang w:eastAsia="zh-CN"/>
        </w:rPr>
        <w:t>6</w:t>
      </w:r>
      <w:r>
        <w:rPr>
          <w:rFonts w:hint="eastAsia" w:ascii="黑体" w:hAnsi="黑体" w:eastAsia="黑体"/>
          <w:kern w:val="44"/>
          <w:sz w:val="21"/>
          <w:szCs w:val="21"/>
        </w:rPr>
        <w:t>.1  制度建设</w:t>
      </w:r>
    </w:p>
    <w:p>
      <w:pPr>
        <w:spacing w:line="360" w:lineRule="auto"/>
        <w:ind w:firstLine="420" w:firstLineChars="200"/>
      </w:pPr>
      <w:r>
        <w:rPr>
          <w:rFonts w:hint="eastAsia"/>
        </w:rPr>
        <w:t>教室要建立健全各项规章制度和岗位责任制。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</w:rPr>
      </w:pPr>
      <w:r>
        <w:rPr>
          <w:rFonts w:hint="eastAsia" w:ascii="黑体" w:hAnsi="黑体" w:eastAsia="黑体"/>
          <w:kern w:val="44"/>
          <w:sz w:val="21"/>
          <w:szCs w:val="21"/>
          <w:lang w:eastAsia="zh-CN"/>
        </w:rPr>
        <w:t>6</w:t>
      </w:r>
      <w:r>
        <w:rPr>
          <w:rFonts w:hint="eastAsia" w:ascii="黑体" w:hAnsi="黑体" w:eastAsia="黑体"/>
          <w:kern w:val="44"/>
          <w:sz w:val="21"/>
          <w:szCs w:val="21"/>
        </w:rPr>
        <w:t>.2  人员配备</w:t>
      </w:r>
    </w:p>
    <w:p>
      <w:pPr>
        <w:spacing w:line="360" w:lineRule="auto"/>
        <w:ind w:firstLine="420" w:firstLineChars="200"/>
      </w:pPr>
      <w:r>
        <w:rPr>
          <w:rFonts w:hint="eastAsia"/>
        </w:rPr>
        <w:t>根据教学等工作任务的需要，教室应建立一支结构合理、相对稳定的队伍。包括教学教师、管理人员等。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</w:rPr>
      </w:pPr>
      <w:r>
        <w:rPr>
          <w:rFonts w:hint="eastAsia" w:ascii="黑体" w:hAnsi="黑体" w:eastAsia="黑体"/>
          <w:kern w:val="44"/>
          <w:sz w:val="21"/>
          <w:szCs w:val="21"/>
          <w:lang w:eastAsia="zh-CN"/>
        </w:rPr>
        <w:t>6</w:t>
      </w:r>
      <w:r>
        <w:rPr>
          <w:rFonts w:hint="eastAsia" w:ascii="黑体" w:hAnsi="黑体" w:eastAsia="黑体"/>
          <w:kern w:val="44"/>
          <w:sz w:val="21"/>
          <w:szCs w:val="21"/>
        </w:rPr>
        <w:t>.3  资产管理</w:t>
      </w:r>
    </w:p>
    <w:p>
      <w:pPr>
        <w:spacing w:line="360" w:lineRule="auto"/>
        <w:ind w:firstLine="420" w:firstLineChars="200"/>
      </w:pPr>
      <w:r>
        <w:rPr>
          <w:rFonts w:hint="eastAsia"/>
        </w:rPr>
        <w:t>设备采购和报废，必须建立登记和报废注销手续。设备损坏或丢失应查明原因，分清责任事故和非责任事故，经审核后，按学校有关管理规定办理报损、报废、报失和赔偿手续。</w:t>
      </w:r>
    </w:p>
    <w:p>
      <w:pPr>
        <w:pStyle w:val="3"/>
        <w:spacing w:before="0" w:after="0" w:line="480" w:lineRule="auto"/>
        <w:rPr>
          <w:rFonts w:ascii="黑体" w:hAnsi="黑体" w:eastAsia="黑体"/>
          <w:b w:val="0"/>
          <w:szCs w:val="21"/>
        </w:rPr>
      </w:pPr>
      <w:r>
        <w:rPr>
          <w:rFonts w:hint="eastAsia" w:ascii="黑体" w:hAnsi="黑体" w:eastAsia="黑体"/>
          <w:kern w:val="44"/>
          <w:sz w:val="21"/>
          <w:szCs w:val="21"/>
          <w:lang w:eastAsia="zh-CN"/>
        </w:rPr>
        <w:t>6</w:t>
      </w:r>
      <w:r>
        <w:rPr>
          <w:rFonts w:hint="eastAsia" w:ascii="黑体" w:hAnsi="黑体" w:eastAsia="黑体"/>
          <w:kern w:val="44"/>
          <w:sz w:val="21"/>
          <w:szCs w:val="21"/>
        </w:rPr>
        <w:t>.4  档案管理</w:t>
      </w:r>
    </w:p>
    <w:p>
      <w:pPr>
        <w:spacing w:line="360" w:lineRule="auto"/>
        <w:ind w:firstLine="420" w:firstLineChars="200"/>
      </w:pPr>
      <w:r>
        <w:rPr>
          <w:rFonts w:hint="eastAsia"/>
        </w:rPr>
        <w:t>力求设备的技术档案和原始记录齐全，包括设备的技术资料、安装调试、验收、使用交接记录、损坏故障及维修养护记录等。</w:t>
      </w:r>
    </w:p>
    <w:p>
      <w:pPr>
        <w:pStyle w:val="3"/>
        <w:spacing w:before="0" w:after="0" w:line="480" w:lineRule="auto"/>
        <w:rPr>
          <w:rFonts w:ascii="黑体" w:hAnsi="黑体" w:eastAsia="黑体"/>
          <w:kern w:val="44"/>
          <w:sz w:val="21"/>
          <w:szCs w:val="21"/>
        </w:rPr>
      </w:pPr>
      <w:r>
        <w:rPr>
          <w:rFonts w:hint="eastAsia" w:ascii="黑体" w:hAnsi="黑体" w:eastAsia="黑体"/>
          <w:kern w:val="44"/>
          <w:sz w:val="21"/>
          <w:szCs w:val="21"/>
          <w:lang w:eastAsia="zh-CN"/>
        </w:rPr>
        <w:t>6</w:t>
      </w:r>
      <w:r>
        <w:rPr>
          <w:rFonts w:hint="eastAsia" w:ascii="黑体" w:hAnsi="黑体" w:eastAsia="黑体"/>
          <w:kern w:val="44"/>
          <w:sz w:val="21"/>
          <w:szCs w:val="21"/>
        </w:rPr>
        <w:t xml:space="preserve">.5 </w:t>
      </w:r>
      <w:r>
        <w:rPr>
          <w:rFonts w:ascii="黑体" w:hAnsi="黑体" w:eastAsia="黑体"/>
          <w:kern w:val="44"/>
          <w:sz w:val="21"/>
          <w:szCs w:val="21"/>
        </w:rPr>
        <w:t xml:space="preserve"> </w:t>
      </w:r>
      <w:r>
        <w:rPr>
          <w:rFonts w:hint="eastAsia" w:ascii="黑体" w:hAnsi="黑体" w:eastAsia="黑体"/>
          <w:kern w:val="44"/>
          <w:sz w:val="21"/>
          <w:szCs w:val="21"/>
        </w:rPr>
        <w:t>系统维护</w:t>
      </w:r>
    </w:p>
    <w:p>
      <w:pPr>
        <w:spacing w:line="360" w:lineRule="auto"/>
        <w:ind w:firstLine="420" w:firstLineChars="200"/>
      </w:pPr>
      <w:r>
        <w:rPr>
          <w:rFonts w:hint="eastAsia"/>
        </w:rPr>
        <w:t>做好设备的维护、防尘、防潮、防盗等安全工作，提高设备的利用率和完好率。</w:t>
      </w:r>
    </w:p>
    <w:p>
      <w:pPr>
        <w:spacing w:line="360" w:lineRule="auto"/>
        <w:rPr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363BF"/>
    <w:multiLevelType w:val="multilevel"/>
    <w:tmpl w:val="047363BF"/>
    <w:lvl w:ilvl="0" w:tentative="0">
      <w:start w:val="1"/>
      <w:numFmt w:val="decimal"/>
      <w:lvlText w:val="%1"/>
      <w:lvlJc w:val="left"/>
      <w:pPr>
        <w:ind w:left="360" w:hanging="360"/>
      </w:pPr>
      <w:rPr>
        <w:rFonts w:hint="default" w:ascii="黑体" w:hAnsi="黑体" w:eastAsia="黑体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766516D"/>
    <w:multiLevelType w:val="multilevel"/>
    <w:tmpl w:val="4766516D"/>
    <w:lvl w:ilvl="0" w:tentative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75D13"/>
    <w:rsid w:val="00005201"/>
    <w:rsid w:val="00035A20"/>
    <w:rsid w:val="00043C25"/>
    <w:rsid w:val="000863A2"/>
    <w:rsid w:val="000963AB"/>
    <w:rsid w:val="00096C1A"/>
    <w:rsid w:val="000A7615"/>
    <w:rsid w:val="000B29CD"/>
    <w:rsid w:val="000C6C8E"/>
    <w:rsid w:val="000D0335"/>
    <w:rsid w:val="000D24D4"/>
    <w:rsid w:val="000D3D3E"/>
    <w:rsid w:val="000D5E28"/>
    <w:rsid w:val="000D7E3A"/>
    <w:rsid w:val="00112FD5"/>
    <w:rsid w:val="00113910"/>
    <w:rsid w:val="00116D9E"/>
    <w:rsid w:val="00117448"/>
    <w:rsid w:val="0012626E"/>
    <w:rsid w:val="001352F8"/>
    <w:rsid w:val="00143A92"/>
    <w:rsid w:val="0019567F"/>
    <w:rsid w:val="001A619B"/>
    <w:rsid w:val="001B7423"/>
    <w:rsid w:val="001E4DC2"/>
    <w:rsid w:val="00221C72"/>
    <w:rsid w:val="00224ADE"/>
    <w:rsid w:val="002260CC"/>
    <w:rsid w:val="00227FC1"/>
    <w:rsid w:val="00234372"/>
    <w:rsid w:val="00242274"/>
    <w:rsid w:val="002604AE"/>
    <w:rsid w:val="002A7EBE"/>
    <w:rsid w:val="002B7F0E"/>
    <w:rsid w:val="003259AC"/>
    <w:rsid w:val="00351CA6"/>
    <w:rsid w:val="00370E2A"/>
    <w:rsid w:val="003944A8"/>
    <w:rsid w:val="003A02EB"/>
    <w:rsid w:val="003A6026"/>
    <w:rsid w:val="003B3310"/>
    <w:rsid w:val="003D57EE"/>
    <w:rsid w:val="003F5B1E"/>
    <w:rsid w:val="00401772"/>
    <w:rsid w:val="0040784C"/>
    <w:rsid w:val="00424CC3"/>
    <w:rsid w:val="0048094E"/>
    <w:rsid w:val="004B108A"/>
    <w:rsid w:val="004F12C1"/>
    <w:rsid w:val="0050472E"/>
    <w:rsid w:val="00524031"/>
    <w:rsid w:val="00533BA3"/>
    <w:rsid w:val="00584444"/>
    <w:rsid w:val="0059552C"/>
    <w:rsid w:val="005B3E5F"/>
    <w:rsid w:val="005E1042"/>
    <w:rsid w:val="006048FE"/>
    <w:rsid w:val="0062106E"/>
    <w:rsid w:val="00625C6B"/>
    <w:rsid w:val="00635C27"/>
    <w:rsid w:val="00663C86"/>
    <w:rsid w:val="006812E6"/>
    <w:rsid w:val="00696CB3"/>
    <w:rsid w:val="006B12A0"/>
    <w:rsid w:val="006C4203"/>
    <w:rsid w:val="006E093C"/>
    <w:rsid w:val="006E0C4F"/>
    <w:rsid w:val="006E5393"/>
    <w:rsid w:val="00706979"/>
    <w:rsid w:val="0071007E"/>
    <w:rsid w:val="00710FF9"/>
    <w:rsid w:val="007117D6"/>
    <w:rsid w:val="00721224"/>
    <w:rsid w:val="00725DC5"/>
    <w:rsid w:val="0072767A"/>
    <w:rsid w:val="0073465E"/>
    <w:rsid w:val="0074768A"/>
    <w:rsid w:val="007A1DD9"/>
    <w:rsid w:val="007A4737"/>
    <w:rsid w:val="007A6FBE"/>
    <w:rsid w:val="007C1858"/>
    <w:rsid w:val="007D65AC"/>
    <w:rsid w:val="00814AD9"/>
    <w:rsid w:val="00816A32"/>
    <w:rsid w:val="008173BA"/>
    <w:rsid w:val="00830218"/>
    <w:rsid w:val="00892E91"/>
    <w:rsid w:val="00893AC2"/>
    <w:rsid w:val="008A7F4F"/>
    <w:rsid w:val="008B4714"/>
    <w:rsid w:val="008C22D7"/>
    <w:rsid w:val="008C4503"/>
    <w:rsid w:val="008E5E1C"/>
    <w:rsid w:val="008E72D2"/>
    <w:rsid w:val="008F4583"/>
    <w:rsid w:val="008F5207"/>
    <w:rsid w:val="00917E51"/>
    <w:rsid w:val="00926745"/>
    <w:rsid w:val="009600FA"/>
    <w:rsid w:val="00981A99"/>
    <w:rsid w:val="0098581C"/>
    <w:rsid w:val="009A5926"/>
    <w:rsid w:val="009C459C"/>
    <w:rsid w:val="009F05BC"/>
    <w:rsid w:val="00A16503"/>
    <w:rsid w:val="00A2627E"/>
    <w:rsid w:val="00A274CA"/>
    <w:rsid w:val="00A3636B"/>
    <w:rsid w:val="00A41C00"/>
    <w:rsid w:val="00A433D2"/>
    <w:rsid w:val="00A75D13"/>
    <w:rsid w:val="00A7651B"/>
    <w:rsid w:val="00A82A78"/>
    <w:rsid w:val="00A842AD"/>
    <w:rsid w:val="00A91539"/>
    <w:rsid w:val="00AD6060"/>
    <w:rsid w:val="00AE3538"/>
    <w:rsid w:val="00B14B1A"/>
    <w:rsid w:val="00B21E8E"/>
    <w:rsid w:val="00B31D22"/>
    <w:rsid w:val="00B54740"/>
    <w:rsid w:val="00B60346"/>
    <w:rsid w:val="00B629E3"/>
    <w:rsid w:val="00B93854"/>
    <w:rsid w:val="00BD1A45"/>
    <w:rsid w:val="00BE2839"/>
    <w:rsid w:val="00BF1152"/>
    <w:rsid w:val="00C25B5C"/>
    <w:rsid w:val="00C448DC"/>
    <w:rsid w:val="00C45717"/>
    <w:rsid w:val="00C45860"/>
    <w:rsid w:val="00C61AA1"/>
    <w:rsid w:val="00C6458A"/>
    <w:rsid w:val="00C87B77"/>
    <w:rsid w:val="00CA7FD1"/>
    <w:rsid w:val="00CB3157"/>
    <w:rsid w:val="00CC2CF5"/>
    <w:rsid w:val="00CC62C1"/>
    <w:rsid w:val="00CE612F"/>
    <w:rsid w:val="00CE78C1"/>
    <w:rsid w:val="00CF6A98"/>
    <w:rsid w:val="00D33550"/>
    <w:rsid w:val="00D3543B"/>
    <w:rsid w:val="00D647B6"/>
    <w:rsid w:val="00D658A7"/>
    <w:rsid w:val="00D74F53"/>
    <w:rsid w:val="00D7595E"/>
    <w:rsid w:val="00D9218E"/>
    <w:rsid w:val="00D975BD"/>
    <w:rsid w:val="00DD029B"/>
    <w:rsid w:val="00DD1F74"/>
    <w:rsid w:val="00DD3285"/>
    <w:rsid w:val="00DE18CC"/>
    <w:rsid w:val="00DE31E9"/>
    <w:rsid w:val="00E0435F"/>
    <w:rsid w:val="00E05060"/>
    <w:rsid w:val="00E20AEF"/>
    <w:rsid w:val="00E31B22"/>
    <w:rsid w:val="00E42816"/>
    <w:rsid w:val="00E46326"/>
    <w:rsid w:val="00E5657A"/>
    <w:rsid w:val="00E7112C"/>
    <w:rsid w:val="00EA3017"/>
    <w:rsid w:val="00EB2A04"/>
    <w:rsid w:val="00EC1182"/>
    <w:rsid w:val="00EC13B3"/>
    <w:rsid w:val="00EC479F"/>
    <w:rsid w:val="00EF090E"/>
    <w:rsid w:val="00F36271"/>
    <w:rsid w:val="00F72A55"/>
    <w:rsid w:val="00F81B8F"/>
    <w:rsid w:val="00F84944"/>
    <w:rsid w:val="00FA4418"/>
    <w:rsid w:val="00FC45E8"/>
    <w:rsid w:val="21D07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7"/>
    <w:qFormat/>
    <w:uiPriority w:val="9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8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kern w:val="0"/>
      <w:sz w:val="32"/>
      <w:szCs w:val="32"/>
      <w:lang w:val="zh-CN" w:eastAsia="zh-CN"/>
    </w:rPr>
  </w:style>
  <w:style w:type="character" w:default="1" w:styleId="8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9"/>
    <w:semiHidden/>
    <w:unhideWhenUsed/>
    <w:qFormat/>
    <w:uiPriority w:val="99"/>
    <w:pPr>
      <w:jc w:val="left"/>
    </w:pPr>
    <w:rPr>
      <w:rFonts w:ascii="Calibri" w:hAnsi="Calibri" w:eastAsia="宋体" w:cs="Times New Roman"/>
    </w:rPr>
  </w:style>
  <w:style w:type="paragraph" w:styleId="5">
    <w:name w:val="Balloon Text"/>
    <w:basedOn w:val="1"/>
    <w:link w:val="21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semiHidden/>
    <w:unhideWhenUsed/>
    <w:uiPriority w:val="99"/>
    <w:rPr>
      <w:color w:val="0000FF"/>
      <w:u w:val="single"/>
    </w:rPr>
  </w:style>
  <w:style w:type="character" w:styleId="10">
    <w:name w:val="annotation reference"/>
    <w:semiHidden/>
    <w:unhideWhenUsed/>
    <w:qFormat/>
    <w:uiPriority w:val="99"/>
    <w:rPr>
      <w:sz w:val="21"/>
      <w:szCs w:val="21"/>
    </w:rPr>
  </w:style>
  <w:style w:type="table" w:styleId="12">
    <w:name w:val="Table Grid"/>
    <w:basedOn w:val="11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List Paragraph"/>
    <w:basedOn w:val="1"/>
    <w:link w:val="20"/>
    <w:qFormat/>
    <w:uiPriority w:val="99"/>
    <w:pPr>
      <w:ind w:firstLine="420" w:firstLineChars="200"/>
    </w:pPr>
    <w:rPr>
      <w:rFonts w:ascii="Times New Roman" w:hAnsi="Times New Roman" w:eastAsia="宋体" w:cs="Times New Roman"/>
    </w:rPr>
  </w:style>
  <w:style w:type="character" w:customStyle="1" w:styleId="14">
    <w:name w:val="页眉 Char"/>
    <w:basedOn w:val="8"/>
    <w:link w:val="7"/>
    <w:uiPriority w:val="99"/>
    <w:rPr>
      <w:sz w:val="18"/>
      <w:szCs w:val="18"/>
    </w:rPr>
  </w:style>
  <w:style w:type="character" w:customStyle="1" w:styleId="15">
    <w:name w:val="页脚 Char"/>
    <w:basedOn w:val="8"/>
    <w:link w:val="6"/>
    <w:uiPriority w:val="99"/>
    <w:rPr>
      <w:sz w:val="18"/>
      <w:szCs w:val="18"/>
    </w:rPr>
  </w:style>
  <w:style w:type="paragraph" w:customStyle="1" w:styleId="16">
    <w:name w:val="ordinary-output target-output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7">
    <w:name w:val="high-light-bg4"/>
    <w:basedOn w:val="8"/>
    <w:qFormat/>
    <w:uiPriority w:val="0"/>
  </w:style>
  <w:style w:type="character" w:customStyle="1" w:styleId="18">
    <w:name w:val="标题 2 Char"/>
    <w:basedOn w:val="8"/>
    <w:link w:val="3"/>
    <w:qFormat/>
    <w:uiPriority w:val="9"/>
    <w:rPr>
      <w:rFonts w:ascii="Cambria" w:hAnsi="Cambria" w:eastAsia="宋体" w:cs="Times New Roman"/>
      <w:b/>
      <w:bCs/>
      <w:kern w:val="0"/>
      <w:sz w:val="32"/>
      <w:szCs w:val="32"/>
      <w:lang w:val="zh-CN" w:eastAsia="zh-CN"/>
    </w:rPr>
  </w:style>
  <w:style w:type="character" w:customStyle="1" w:styleId="19">
    <w:name w:val="批注文字 Char"/>
    <w:basedOn w:val="8"/>
    <w:link w:val="4"/>
    <w:semiHidden/>
    <w:uiPriority w:val="99"/>
    <w:rPr>
      <w:rFonts w:ascii="Calibri" w:hAnsi="Calibri" w:eastAsia="宋体" w:cs="Times New Roman"/>
    </w:rPr>
  </w:style>
  <w:style w:type="character" w:customStyle="1" w:styleId="20">
    <w:name w:val="列出段落 Char1"/>
    <w:link w:val="13"/>
    <w:qFormat/>
    <w:uiPriority w:val="34"/>
    <w:rPr>
      <w:rFonts w:ascii="Times New Roman" w:hAnsi="Times New Roman" w:eastAsia="宋体" w:cs="Times New Roman"/>
    </w:rPr>
  </w:style>
  <w:style w:type="character" w:customStyle="1" w:styleId="21">
    <w:name w:val="批注框文本 Char"/>
    <w:basedOn w:val="8"/>
    <w:link w:val="5"/>
    <w:semiHidden/>
    <w:qFormat/>
    <w:uiPriority w:val="99"/>
    <w:rPr>
      <w:sz w:val="18"/>
      <w:szCs w:val="18"/>
    </w:rPr>
  </w:style>
  <w:style w:type="paragraph" w:customStyle="1" w:styleId="22">
    <w:name w:val="段"/>
    <w:link w:val="23"/>
    <w:uiPriority w:val="99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character" w:customStyle="1" w:styleId="23">
    <w:name w:val="段 Char Char"/>
    <w:link w:val="22"/>
    <w:qFormat/>
    <w:locked/>
    <w:uiPriority w:val="99"/>
    <w:rPr>
      <w:rFonts w:ascii="宋体" w:hAnsi="Times New Roman" w:eastAsia="宋体" w:cs="Times New Roman"/>
      <w:kern w:val="0"/>
      <w:szCs w:val="20"/>
    </w:rPr>
  </w:style>
  <w:style w:type="character" w:customStyle="1" w:styleId="24">
    <w:name w:val="apple-converted-space"/>
    <w:uiPriority w:val="0"/>
  </w:style>
  <w:style w:type="character" w:customStyle="1" w:styleId="25">
    <w:name w:val="列出段落 Char"/>
    <w:qFormat/>
    <w:uiPriority w:val="34"/>
    <w:rPr>
      <w:kern w:val="2"/>
      <w:sz w:val="21"/>
      <w:szCs w:val="22"/>
    </w:rPr>
  </w:style>
  <w:style w:type="paragraph" w:customStyle="1" w:styleId="26">
    <w:name w:val="列出段落2"/>
    <w:basedOn w:val="1"/>
    <w:qFormat/>
    <w:uiPriority w:val="34"/>
    <w:pPr>
      <w:ind w:firstLine="420" w:firstLineChars="200"/>
    </w:pPr>
    <w:rPr>
      <w:u w:color="000000"/>
    </w:rPr>
  </w:style>
  <w:style w:type="character" w:customStyle="1" w:styleId="27">
    <w:name w:val="标题 1 Char"/>
    <w:basedOn w:val="8"/>
    <w:link w:val="2"/>
    <w:qFormat/>
    <w:uiPriority w:val="9"/>
    <w:rPr>
      <w:rFonts w:ascii="Calibri" w:hAnsi="Calibri" w:eastAsia="宋体" w:cs="Times New Roman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</Pages>
  <Words>496</Words>
  <Characters>2832</Characters>
  <Lines>23</Lines>
  <Paragraphs>6</Paragraphs>
  <TotalTime>424</TotalTime>
  <ScaleCrop>false</ScaleCrop>
  <LinksUpToDate>false</LinksUpToDate>
  <CharactersWithSpaces>3322</CharactersWithSpaces>
  <Application>WPS Office_11.1.0.8306_F1E327BC-269C-435d-A152-05C5408002CA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2017-01-05T00:40:00Z</dcterms:created>
  <dc:creator>张国栋</dc:creator>
  <cp:lastModifiedBy>禹</cp:lastModifiedBy>
  <cp:lastPrinted>2018-05-23T04:41:00Z</cp:lastPrinted>
  <dcterms:modified xsi:type="dcterms:W3CDTF">2018-12-26T02:22:26Z</dcterms:modified>
  <cp:revision>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2052-11.1.0.8306</vt:lpwstr>
  </property>
</Properties>
</file>