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黑体" w:hAnsi="黑体" w:eastAsia="黑体" w:cs="Times New Roman"/>
          <w:b w:val="0"/>
          <w:bCs/>
          <w:sz w:val="32"/>
          <w:szCs w:val="32"/>
          <w:lang w:val="en-US" w:eastAsia="zh-CN"/>
        </w:rPr>
      </w:pPr>
      <w:r>
        <w:rPr>
          <w:rFonts w:hint="eastAsia" w:ascii="黑体" w:hAnsi="黑体" w:eastAsia="黑体" w:cs="Times New Roman"/>
          <w:b w:val="0"/>
          <w:bCs/>
          <w:sz w:val="32"/>
          <w:szCs w:val="32"/>
          <w:lang w:eastAsia="zh-CN"/>
        </w:rPr>
        <w:t>附件</w:t>
      </w:r>
      <w:r>
        <w:rPr>
          <w:rFonts w:hint="eastAsia" w:ascii="黑体" w:hAnsi="黑体" w:eastAsia="黑体" w:cs="Times New Roman"/>
          <w:b w:val="0"/>
          <w:bCs/>
          <w:sz w:val="32"/>
          <w:szCs w:val="32"/>
          <w:lang w:val="en-US" w:eastAsia="zh-CN"/>
        </w:rPr>
        <w:t>8</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浙江省中小学数字美术教室指导意见</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sz w:val="36"/>
          <w:szCs w:val="36"/>
        </w:rPr>
      </w:pPr>
    </w:p>
    <w:p>
      <w:pPr>
        <w:pStyle w:val="2"/>
        <w:numPr>
          <w:ilvl w:val="0"/>
          <w:numId w:val="1"/>
        </w:numPr>
        <w:spacing w:before="0" w:after="0" w:line="720" w:lineRule="auto"/>
        <w:ind w:left="0" w:firstLine="0"/>
        <w:rPr>
          <w:rFonts w:ascii="黑体" w:hAnsi="黑体" w:eastAsia="黑体"/>
          <w:sz w:val="21"/>
          <w:szCs w:val="21"/>
          <w:lang w:val="zh-CN" w:eastAsia="zh-CN"/>
        </w:rPr>
      </w:pPr>
      <w:r>
        <w:rPr>
          <w:rFonts w:hint="eastAsia" w:ascii="黑体" w:hAnsi="黑体" w:eastAsia="黑体"/>
          <w:sz w:val="21"/>
          <w:szCs w:val="21"/>
          <w:lang w:val="zh-CN" w:eastAsia="zh-CN"/>
        </w:rPr>
        <w:t>范围</w:t>
      </w:r>
    </w:p>
    <w:p>
      <w:pPr>
        <w:spacing w:line="360" w:lineRule="auto"/>
        <w:ind w:firstLine="420" w:firstLineChars="200"/>
        <w:rPr>
          <w:rFonts w:ascii="宋体" w:hAnsi="宋体" w:eastAsia="宋体"/>
          <w:szCs w:val="21"/>
        </w:rPr>
      </w:pPr>
      <w:r>
        <w:rPr>
          <w:rFonts w:hint="eastAsia" w:ascii="宋体" w:hAnsi="宋体" w:eastAsia="宋体"/>
          <w:szCs w:val="21"/>
        </w:rPr>
        <w:t>本指导意见规定了浙江省中小学数字美术教学装备建设的基本要求，包括适定义、建设原则、教室要求、装备内容等。</w:t>
      </w:r>
    </w:p>
    <w:p>
      <w:pPr>
        <w:spacing w:line="360" w:lineRule="auto"/>
        <w:ind w:firstLine="420" w:firstLineChars="200"/>
        <w:rPr>
          <w:rFonts w:ascii="宋体" w:hAnsi="宋体" w:eastAsia="宋体"/>
          <w:sz w:val="24"/>
        </w:rPr>
      </w:pPr>
      <w:r>
        <w:rPr>
          <w:rFonts w:hint="eastAsia" w:ascii="宋体" w:hAnsi="宋体" w:eastAsia="宋体" w:cs="宋体"/>
          <w:kern w:val="0"/>
          <w:szCs w:val="21"/>
        </w:rPr>
        <w:t>本</w:t>
      </w:r>
      <w:r>
        <w:rPr>
          <w:rFonts w:hint="eastAsia" w:ascii="宋体" w:hAnsi="宋体" w:eastAsia="宋体"/>
          <w:szCs w:val="21"/>
        </w:rPr>
        <w:t>指导意见</w:t>
      </w:r>
      <w:r>
        <w:rPr>
          <w:rFonts w:hint="eastAsia" w:ascii="宋体" w:hAnsi="宋体" w:eastAsia="宋体" w:cs="宋体"/>
          <w:kern w:val="0"/>
          <w:szCs w:val="21"/>
        </w:rPr>
        <w:t>适用于浙江省中小学校</w:t>
      </w:r>
      <w:r>
        <w:rPr>
          <w:rFonts w:hint="eastAsia" w:ascii="宋体" w:hAnsi="宋体" w:eastAsia="宋体"/>
          <w:szCs w:val="21"/>
        </w:rPr>
        <w:t>数字美术</w:t>
      </w:r>
      <w:r>
        <w:rPr>
          <w:rFonts w:hint="eastAsia" w:ascii="宋体" w:hAnsi="宋体" w:eastAsia="宋体" w:cs="宋体"/>
          <w:kern w:val="0"/>
          <w:szCs w:val="21"/>
        </w:rPr>
        <w:t>教室的装备。</w:t>
      </w:r>
    </w:p>
    <w:p>
      <w:pPr>
        <w:pStyle w:val="2"/>
        <w:numPr>
          <w:ilvl w:val="0"/>
          <w:numId w:val="1"/>
        </w:numPr>
        <w:spacing w:before="0" w:after="0" w:line="720" w:lineRule="auto"/>
        <w:ind w:left="0" w:firstLine="0"/>
        <w:rPr>
          <w:rFonts w:ascii="黑体" w:hAnsi="黑体" w:eastAsia="黑体"/>
          <w:sz w:val="21"/>
          <w:szCs w:val="21"/>
          <w:lang w:val="zh-CN" w:eastAsia="zh-CN"/>
        </w:rPr>
      </w:pPr>
      <w:r>
        <w:rPr>
          <w:rFonts w:hint="eastAsia" w:ascii="黑体" w:hAnsi="黑体" w:eastAsia="黑体"/>
          <w:sz w:val="21"/>
          <w:szCs w:val="21"/>
          <w:lang w:val="zh-CN" w:eastAsia="zh-CN"/>
        </w:rPr>
        <w:t>定义</w:t>
      </w:r>
    </w:p>
    <w:p>
      <w:pPr>
        <w:spacing w:line="360" w:lineRule="auto"/>
        <w:ind w:firstLine="420" w:firstLineChars="200"/>
        <w:rPr>
          <w:rFonts w:ascii="宋体" w:hAnsi="宋体" w:eastAsia="宋体" w:cs="宋体"/>
          <w:kern w:val="0"/>
          <w:szCs w:val="21"/>
        </w:rPr>
      </w:pPr>
      <w:r>
        <w:rPr>
          <w:rFonts w:hint="eastAsia" w:ascii="宋体" w:hAnsi="宋体" w:eastAsia="宋体" w:cs="宋体"/>
          <w:kern w:val="0"/>
          <w:szCs w:val="21"/>
        </w:rPr>
        <w:t>数字美术教室是由美术云平台、配套软件、绘画板、特定的配套设施组成，为学校开展数字化美术教学提供的专用教室。</w:t>
      </w:r>
    </w:p>
    <w:p>
      <w:pPr>
        <w:pStyle w:val="2"/>
        <w:spacing w:before="0" w:after="0" w:line="720" w:lineRule="auto"/>
        <w:rPr>
          <w:rFonts w:ascii="黑体" w:hAnsi="黑体" w:eastAsia="黑体"/>
          <w:sz w:val="21"/>
          <w:szCs w:val="21"/>
          <w:lang w:val="zh-CN" w:eastAsia="zh-CN"/>
        </w:rPr>
      </w:pPr>
      <w:bookmarkStart w:id="0" w:name="_Hlk520364104"/>
      <w:r>
        <w:rPr>
          <w:rFonts w:hint="eastAsia" w:ascii="黑体" w:hAnsi="黑体" w:eastAsia="黑体"/>
          <w:sz w:val="21"/>
          <w:szCs w:val="21"/>
          <w:lang w:val="zh-CN" w:eastAsia="zh-CN"/>
        </w:rPr>
        <w:t>3  建设原则</w:t>
      </w:r>
    </w:p>
    <w:p>
      <w:pPr>
        <w:spacing w:line="360" w:lineRule="auto"/>
        <w:ind w:firstLine="420" w:firstLineChars="200"/>
        <w:rPr>
          <w:rFonts w:ascii="宋体" w:hAnsi="宋体" w:eastAsia="宋体" w:cs="宋体"/>
          <w:kern w:val="0"/>
          <w:szCs w:val="21"/>
        </w:rPr>
      </w:pPr>
      <w:r>
        <w:rPr>
          <w:rFonts w:hint="eastAsia" w:ascii="宋体" w:hAnsi="宋体" w:eastAsia="宋体" w:cs="宋体"/>
          <w:kern w:val="0"/>
          <w:szCs w:val="21"/>
        </w:rPr>
        <w:t>数字美术教室的建设必须将先进的教育思想和方法与实际教学工作相结合，建立让学生自主的、创造性的学习环境。并根据教学实际，开发制作计算机教学资料，将原来教师的单纯讲授变成以学生主动探究为主，与学生间协作学习相结合等灵活多样的教与学的形式。</w:t>
      </w:r>
      <w:bookmarkEnd w:id="0"/>
    </w:p>
    <w:p>
      <w:pPr>
        <w:pStyle w:val="2"/>
        <w:spacing w:before="0" w:after="0" w:line="720" w:lineRule="auto"/>
        <w:rPr>
          <w:rFonts w:ascii="黑体" w:hAnsi="黑体" w:eastAsia="黑体"/>
          <w:sz w:val="21"/>
          <w:szCs w:val="21"/>
          <w:lang w:val="zh-CN" w:eastAsia="zh-CN"/>
        </w:rPr>
      </w:pPr>
      <w:r>
        <w:rPr>
          <w:rFonts w:hint="eastAsia" w:ascii="黑体" w:hAnsi="黑体" w:eastAsia="黑体"/>
          <w:sz w:val="21"/>
          <w:szCs w:val="21"/>
          <w:lang w:val="zh-CN" w:eastAsia="zh-CN"/>
        </w:rPr>
        <w:t xml:space="preserve">4  </w:t>
      </w:r>
      <w:r>
        <w:rPr>
          <w:rFonts w:hint="eastAsia" w:ascii="黑体" w:hAnsi="黑体" w:eastAsia="黑体"/>
          <w:sz w:val="21"/>
          <w:szCs w:val="21"/>
          <w:lang w:val="zh-CN"/>
        </w:rPr>
        <w:t>教室</w:t>
      </w:r>
      <w:r>
        <w:rPr>
          <w:rFonts w:hint="eastAsia" w:ascii="黑体" w:hAnsi="黑体" w:eastAsia="黑体"/>
          <w:sz w:val="21"/>
          <w:szCs w:val="21"/>
          <w:lang w:val="zh-CN" w:eastAsia="zh-CN"/>
        </w:rPr>
        <w:t>要求</w:t>
      </w:r>
    </w:p>
    <w:p>
      <w:pPr>
        <w:pStyle w:val="3"/>
        <w:spacing w:before="0" w:after="0" w:line="480" w:lineRule="auto"/>
        <w:rPr>
          <w:rFonts w:ascii="黑体" w:hAnsi="黑体" w:eastAsia="黑体" w:cs="Times New Roman"/>
          <w:kern w:val="44"/>
          <w:sz w:val="21"/>
          <w:szCs w:val="21"/>
          <w:lang w:val="zh-CN" w:eastAsia="zh-CN"/>
        </w:rPr>
      </w:pPr>
      <w:r>
        <w:rPr>
          <w:rFonts w:hint="eastAsia" w:ascii="黑体" w:hAnsi="黑体" w:eastAsia="黑体" w:cs="Times New Roman"/>
          <w:kern w:val="44"/>
          <w:sz w:val="21"/>
          <w:szCs w:val="21"/>
          <w:lang w:val="zh-CN" w:eastAsia="zh-CN"/>
        </w:rPr>
        <w:t>4.1  面积</w:t>
      </w:r>
    </w:p>
    <w:p>
      <w:pPr>
        <w:spacing w:line="360" w:lineRule="auto"/>
        <w:ind w:firstLine="420" w:firstLineChars="200"/>
        <w:rPr>
          <w:rFonts w:ascii="宋体" w:hAnsi="宋体" w:eastAsia="宋体" w:cs="宋体"/>
          <w:kern w:val="0"/>
          <w:szCs w:val="21"/>
        </w:rPr>
      </w:pPr>
      <w:r>
        <w:rPr>
          <w:rFonts w:hint="eastAsia" w:ascii="宋体" w:hAnsi="宋体" w:eastAsia="宋体" w:cs="宋体"/>
          <w:kern w:val="0"/>
          <w:szCs w:val="21"/>
        </w:rPr>
        <w:t>学校可根据实际条件，按照小学生均面积不小于1.58m</w:t>
      </w:r>
      <w:r>
        <w:rPr>
          <w:rFonts w:hint="eastAsia" w:ascii="宋体" w:hAnsi="宋体" w:eastAsia="宋体" w:cs="宋体"/>
          <w:kern w:val="0"/>
          <w:szCs w:val="21"/>
          <w:vertAlign w:val="superscript"/>
        </w:rPr>
        <w:t>2</w:t>
      </w:r>
      <w:r>
        <w:rPr>
          <w:rFonts w:hint="eastAsia" w:ascii="宋体" w:hAnsi="宋体" w:eastAsia="宋体" w:cs="宋体"/>
          <w:kern w:val="0"/>
          <w:szCs w:val="21"/>
        </w:rPr>
        <w:t>，初中</w:t>
      </w:r>
      <w:r>
        <w:rPr>
          <w:rFonts w:ascii="宋体" w:hAnsi="宋体" w:eastAsia="宋体" w:cs="宋体"/>
          <w:kern w:val="0"/>
          <w:szCs w:val="21"/>
        </w:rPr>
        <w:t>生均面积不小于</w:t>
      </w:r>
      <w:r>
        <w:rPr>
          <w:rFonts w:hint="eastAsia" w:ascii="宋体" w:hAnsi="宋体" w:eastAsia="宋体" w:cs="宋体"/>
          <w:kern w:val="0"/>
          <w:szCs w:val="21"/>
        </w:rPr>
        <w:t>1.</w:t>
      </w:r>
      <w:r>
        <w:rPr>
          <w:rFonts w:ascii="宋体" w:hAnsi="宋体" w:eastAsia="宋体" w:cs="宋体"/>
          <w:kern w:val="0"/>
          <w:szCs w:val="21"/>
        </w:rPr>
        <w:t>8</w:t>
      </w:r>
      <w:r>
        <w:rPr>
          <w:rFonts w:hint="eastAsia" w:ascii="宋体" w:hAnsi="宋体" w:eastAsia="宋体" w:cs="宋体"/>
          <w:kern w:val="0"/>
          <w:szCs w:val="21"/>
        </w:rPr>
        <w:t>m</w:t>
      </w:r>
      <w:r>
        <w:rPr>
          <w:rFonts w:hint="eastAsia" w:ascii="宋体" w:hAnsi="宋体" w:eastAsia="宋体" w:cs="宋体"/>
          <w:kern w:val="0"/>
          <w:szCs w:val="21"/>
          <w:vertAlign w:val="superscript"/>
        </w:rPr>
        <w:t>2</w:t>
      </w:r>
      <w:r>
        <w:rPr>
          <w:rFonts w:hint="eastAsia" w:ascii="宋体" w:hAnsi="宋体" w:eastAsia="宋体" w:cs="宋体"/>
          <w:kern w:val="0"/>
          <w:szCs w:val="21"/>
        </w:rPr>
        <w:t>选择教室，高中按照生均面积不小于</w:t>
      </w:r>
      <w:r>
        <w:rPr>
          <w:rFonts w:ascii="宋体" w:hAnsi="宋体" w:eastAsia="宋体" w:cs="宋体"/>
          <w:kern w:val="0"/>
          <w:szCs w:val="21"/>
        </w:rPr>
        <w:t>1.92m</w:t>
      </w:r>
      <w:r>
        <w:rPr>
          <w:rFonts w:ascii="宋体" w:hAnsi="宋体" w:eastAsia="宋体" w:cs="宋体"/>
          <w:kern w:val="0"/>
          <w:szCs w:val="21"/>
          <w:vertAlign w:val="superscript"/>
        </w:rPr>
        <w:t>2</w:t>
      </w:r>
      <w:r>
        <w:rPr>
          <w:rFonts w:hint="eastAsia" w:ascii="宋体" w:hAnsi="宋体" w:eastAsia="宋体" w:cs="宋体"/>
          <w:kern w:val="0"/>
          <w:szCs w:val="21"/>
        </w:rPr>
        <w:t>选择教室。</w:t>
      </w:r>
    </w:p>
    <w:p>
      <w:pPr>
        <w:pStyle w:val="3"/>
        <w:spacing w:before="0" w:after="0" w:line="480" w:lineRule="auto"/>
        <w:rPr>
          <w:rFonts w:ascii="黑体" w:hAnsi="黑体" w:eastAsia="黑体" w:cs="Times New Roman"/>
          <w:kern w:val="44"/>
          <w:sz w:val="21"/>
          <w:szCs w:val="21"/>
          <w:lang w:val="zh-CN" w:eastAsia="zh-CN"/>
        </w:rPr>
      </w:pPr>
      <w:r>
        <w:rPr>
          <w:rFonts w:hint="eastAsia" w:ascii="黑体" w:hAnsi="黑体" w:eastAsia="黑体" w:cs="Times New Roman"/>
          <w:kern w:val="44"/>
          <w:sz w:val="21"/>
          <w:szCs w:val="21"/>
          <w:lang w:val="zh-CN" w:eastAsia="zh-CN"/>
        </w:rPr>
        <w:t>4.2  地面</w:t>
      </w:r>
    </w:p>
    <w:p>
      <w:pPr>
        <w:spacing w:line="360" w:lineRule="auto"/>
        <w:ind w:firstLine="420" w:firstLineChars="200"/>
        <w:rPr>
          <w:rFonts w:ascii="宋体" w:hAnsi="宋体" w:eastAsia="宋体" w:cs="宋体"/>
          <w:kern w:val="0"/>
          <w:szCs w:val="21"/>
        </w:rPr>
      </w:pPr>
      <w:r>
        <w:rPr>
          <w:rFonts w:hint="eastAsia" w:ascii="宋体" w:hAnsi="宋体" w:eastAsia="宋体" w:cs="宋体"/>
          <w:kern w:val="0"/>
          <w:szCs w:val="21"/>
        </w:rPr>
        <w:t>地面平整、易清洁、耐磨、防滑，无台阶落差。</w:t>
      </w:r>
    </w:p>
    <w:p>
      <w:pPr>
        <w:pStyle w:val="3"/>
        <w:spacing w:before="0" w:after="0" w:line="480" w:lineRule="auto"/>
        <w:rPr>
          <w:rFonts w:ascii="黑体" w:hAnsi="黑体" w:eastAsia="黑体" w:cs="Times New Roman"/>
          <w:kern w:val="44"/>
          <w:sz w:val="21"/>
          <w:szCs w:val="21"/>
          <w:lang w:val="zh-CN" w:eastAsia="zh-CN"/>
        </w:rPr>
      </w:pPr>
      <w:r>
        <w:rPr>
          <w:rFonts w:hint="eastAsia" w:ascii="黑体" w:hAnsi="黑体" w:eastAsia="黑体" w:cs="Times New Roman"/>
          <w:kern w:val="44"/>
          <w:sz w:val="21"/>
          <w:szCs w:val="21"/>
          <w:lang w:val="zh-CN" w:eastAsia="zh-CN"/>
        </w:rPr>
        <w:t>4.3  门窗</w:t>
      </w:r>
    </w:p>
    <w:p>
      <w:pPr>
        <w:spacing w:line="360" w:lineRule="auto"/>
        <w:ind w:firstLine="420" w:firstLineChars="200"/>
        <w:rPr>
          <w:rFonts w:ascii="宋体" w:hAnsi="宋体" w:eastAsia="宋体" w:cs="宋体"/>
          <w:kern w:val="0"/>
          <w:szCs w:val="21"/>
        </w:rPr>
      </w:pPr>
      <w:r>
        <w:rPr>
          <w:rFonts w:hint="eastAsia" w:ascii="宋体" w:hAnsi="宋体" w:eastAsia="宋体" w:cs="宋体"/>
          <w:kern w:val="0"/>
          <w:szCs w:val="21"/>
        </w:rPr>
        <w:t>应设置前后门，门洞的宽度不应小于1000 mm，门应向疏散方向开启，开启的门窗不得挤占走道的疏散通道。临空窗台高度不应低于900mm。</w:t>
      </w:r>
    </w:p>
    <w:p>
      <w:pPr>
        <w:pStyle w:val="3"/>
        <w:spacing w:before="0" w:after="0" w:line="480" w:lineRule="auto"/>
        <w:rPr>
          <w:rFonts w:ascii="黑体" w:hAnsi="黑体" w:eastAsia="黑体" w:cs="Times New Roman"/>
          <w:kern w:val="44"/>
          <w:sz w:val="21"/>
          <w:szCs w:val="21"/>
          <w:lang w:val="zh-CN" w:eastAsia="zh-CN"/>
        </w:rPr>
      </w:pPr>
      <w:r>
        <w:rPr>
          <w:rFonts w:hint="eastAsia" w:ascii="黑体" w:hAnsi="黑体" w:eastAsia="黑体" w:cs="Times New Roman"/>
          <w:kern w:val="44"/>
          <w:sz w:val="21"/>
          <w:szCs w:val="21"/>
          <w:lang w:val="zh-CN" w:eastAsia="zh-CN"/>
        </w:rPr>
        <w:t>4.4  网络</w:t>
      </w:r>
    </w:p>
    <w:p>
      <w:pPr>
        <w:spacing w:line="360" w:lineRule="auto"/>
        <w:ind w:firstLine="420" w:firstLineChars="200"/>
        <w:rPr>
          <w:rFonts w:ascii="宋体" w:hAnsi="宋体" w:eastAsia="宋体" w:cs="宋体"/>
          <w:kern w:val="0"/>
          <w:szCs w:val="21"/>
        </w:rPr>
      </w:pPr>
      <w:r>
        <w:rPr>
          <w:rFonts w:hint="eastAsia" w:ascii="宋体" w:hAnsi="宋体" w:eastAsia="宋体" w:cs="宋体"/>
          <w:kern w:val="0"/>
          <w:szCs w:val="21"/>
        </w:rPr>
        <w:t>每张桌子所在位置应设不少以2个的千兆网络接口。</w:t>
      </w:r>
    </w:p>
    <w:p>
      <w:pPr>
        <w:pStyle w:val="3"/>
        <w:spacing w:before="0" w:after="0" w:line="480" w:lineRule="auto"/>
        <w:rPr>
          <w:rFonts w:ascii="黑体" w:hAnsi="黑体" w:eastAsia="黑体" w:cs="Times New Roman"/>
          <w:kern w:val="44"/>
          <w:sz w:val="21"/>
          <w:szCs w:val="21"/>
          <w:lang w:val="zh-CN" w:eastAsia="zh-CN"/>
        </w:rPr>
      </w:pPr>
      <w:r>
        <w:rPr>
          <w:rFonts w:hint="eastAsia" w:ascii="黑体" w:hAnsi="黑体" w:eastAsia="黑体" w:cs="Times New Roman"/>
          <w:kern w:val="44"/>
          <w:sz w:val="21"/>
          <w:szCs w:val="21"/>
          <w:lang w:val="zh-CN" w:eastAsia="zh-CN"/>
        </w:rPr>
        <w:t>4.5  综合布线</w:t>
      </w:r>
    </w:p>
    <w:p>
      <w:pPr>
        <w:spacing w:line="360" w:lineRule="auto"/>
        <w:ind w:firstLine="420" w:firstLineChars="200"/>
        <w:rPr>
          <w:rFonts w:ascii="宋体" w:hAnsi="宋体" w:eastAsia="宋体" w:cs="宋体"/>
          <w:kern w:val="0"/>
          <w:szCs w:val="21"/>
        </w:rPr>
      </w:pPr>
      <w:r>
        <w:rPr>
          <w:rFonts w:ascii="宋体" w:hAnsi="宋体" w:eastAsia="宋体" w:cs="宋体"/>
          <w:kern w:val="0"/>
          <w:szCs w:val="21"/>
        </w:rPr>
        <w:t xml:space="preserve">室内电源应设总控开关，设备系统、空调、照明和电源插座用电应分路设计和分别控制。室内的电力线和信号线敷设应按标准分开。 </w:t>
      </w:r>
    </w:p>
    <w:p>
      <w:pPr>
        <w:pStyle w:val="3"/>
        <w:spacing w:before="0" w:after="0" w:line="480" w:lineRule="auto"/>
        <w:rPr>
          <w:rFonts w:ascii="黑体" w:hAnsi="黑体" w:eastAsia="黑体" w:cs="Times New Roman"/>
          <w:kern w:val="44"/>
          <w:sz w:val="21"/>
          <w:szCs w:val="21"/>
          <w:lang w:val="zh-CN" w:eastAsia="zh-CN"/>
        </w:rPr>
      </w:pPr>
      <w:r>
        <w:rPr>
          <w:rFonts w:hint="eastAsia" w:ascii="黑体" w:hAnsi="黑体" w:eastAsia="黑体" w:cs="Times New Roman"/>
          <w:kern w:val="44"/>
          <w:sz w:val="21"/>
          <w:szCs w:val="21"/>
          <w:lang w:val="zh-CN" w:eastAsia="zh-CN"/>
        </w:rPr>
        <w:t>4.6  供电</w:t>
      </w:r>
    </w:p>
    <w:p>
      <w:pPr>
        <w:spacing w:line="360" w:lineRule="auto"/>
        <w:ind w:firstLine="420" w:firstLineChars="200"/>
        <w:rPr>
          <w:rFonts w:ascii="宋体" w:hAnsi="宋体" w:eastAsia="宋体" w:cs="宋体"/>
          <w:kern w:val="0"/>
          <w:szCs w:val="21"/>
        </w:rPr>
      </w:pPr>
      <w:r>
        <w:rPr>
          <w:rFonts w:ascii="宋体" w:hAnsi="宋体" w:eastAsia="宋体" w:cs="宋体"/>
          <w:kern w:val="0"/>
          <w:szCs w:val="21"/>
        </w:rPr>
        <w:t>教室电气线路应采用防火要求的暗敷配线方式，安装剩余电流（漏电）保护器。供电电源额定总容量（设备系统的用电容量）应不小于设备总功率的</w:t>
      </w:r>
      <w:r>
        <w:rPr>
          <w:rFonts w:hint="eastAsia" w:ascii="宋体" w:hAnsi="宋体" w:eastAsia="宋体" w:cs="宋体"/>
          <w:kern w:val="0"/>
          <w:szCs w:val="21"/>
        </w:rPr>
        <w:t>1.5</w:t>
      </w:r>
      <w:r>
        <w:rPr>
          <w:rFonts w:ascii="宋体" w:hAnsi="宋体" w:eastAsia="宋体" w:cs="宋体"/>
          <w:kern w:val="0"/>
          <w:szCs w:val="21"/>
        </w:rPr>
        <w:t>～</w:t>
      </w:r>
      <w:r>
        <w:rPr>
          <w:rFonts w:hint="eastAsia" w:ascii="宋体" w:hAnsi="宋体" w:eastAsia="宋体" w:cs="宋体"/>
          <w:kern w:val="0"/>
          <w:szCs w:val="21"/>
        </w:rPr>
        <w:t>2</w:t>
      </w:r>
      <w:r>
        <w:rPr>
          <w:rFonts w:ascii="宋体" w:hAnsi="宋体" w:eastAsia="宋体" w:cs="宋体"/>
          <w:kern w:val="0"/>
          <w:szCs w:val="21"/>
        </w:rPr>
        <w:t>倍。 </w:t>
      </w:r>
    </w:p>
    <w:p>
      <w:pPr>
        <w:pStyle w:val="3"/>
        <w:spacing w:before="0" w:after="0" w:line="480" w:lineRule="auto"/>
        <w:rPr>
          <w:rFonts w:ascii="黑体" w:hAnsi="黑体" w:eastAsia="黑体" w:cs="Times New Roman"/>
          <w:kern w:val="44"/>
          <w:sz w:val="21"/>
          <w:szCs w:val="21"/>
          <w:lang w:val="zh-CN" w:eastAsia="zh-CN"/>
        </w:rPr>
      </w:pPr>
      <w:r>
        <w:rPr>
          <w:rFonts w:hint="eastAsia" w:ascii="黑体" w:hAnsi="黑体" w:eastAsia="黑体" w:cs="Times New Roman"/>
          <w:kern w:val="44"/>
          <w:sz w:val="21"/>
          <w:szCs w:val="21"/>
          <w:lang w:val="zh-CN" w:eastAsia="zh-CN"/>
        </w:rPr>
        <w:t>4.7  接地</w:t>
      </w:r>
    </w:p>
    <w:p>
      <w:pPr>
        <w:spacing w:line="360" w:lineRule="auto"/>
        <w:ind w:firstLine="420" w:firstLineChars="200"/>
        <w:rPr>
          <w:rFonts w:ascii="宋体" w:hAnsi="宋体" w:eastAsia="宋体" w:cs="宋体"/>
          <w:kern w:val="0"/>
          <w:szCs w:val="21"/>
        </w:rPr>
      </w:pPr>
      <w:r>
        <w:rPr>
          <w:rFonts w:hint="eastAsia" w:ascii="宋体" w:hAnsi="宋体" w:eastAsia="宋体" w:cs="宋体"/>
          <w:kern w:val="0"/>
          <w:szCs w:val="21"/>
        </w:rPr>
        <w:t>教室应有可靠的保护接地线，接地电阻应不大于4Ω。</w:t>
      </w:r>
    </w:p>
    <w:p>
      <w:pPr>
        <w:pStyle w:val="3"/>
        <w:spacing w:before="0" w:after="0" w:line="480" w:lineRule="auto"/>
        <w:rPr>
          <w:rFonts w:ascii="黑体" w:hAnsi="黑体" w:eastAsia="黑体" w:cs="Times New Roman"/>
          <w:kern w:val="44"/>
          <w:sz w:val="21"/>
          <w:szCs w:val="21"/>
          <w:lang w:val="zh-CN" w:eastAsia="zh-CN"/>
        </w:rPr>
      </w:pPr>
      <w:r>
        <w:rPr>
          <w:rFonts w:hint="eastAsia" w:ascii="黑体" w:hAnsi="黑体" w:eastAsia="黑体" w:cs="Times New Roman"/>
          <w:kern w:val="44"/>
          <w:sz w:val="21"/>
          <w:szCs w:val="21"/>
          <w:lang w:val="zh-CN" w:eastAsia="zh-CN"/>
        </w:rPr>
        <w:t>4.8  消防</w:t>
      </w:r>
    </w:p>
    <w:p>
      <w:pPr>
        <w:spacing w:line="360" w:lineRule="auto"/>
        <w:ind w:firstLine="420" w:firstLineChars="200"/>
        <w:rPr>
          <w:rFonts w:ascii="宋体" w:hAnsi="宋体" w:eastAsia="宋体" w:cs="宋体"/>
          <w:kern w:val="0"/>
          <w:szCs w:val="21"/>
        </w:rPr>
      </w:pPr>
      <w:r>
        <w:rPr>
          <w:rFonts w:hint="eastAsia" w:ascii="宋体" w:hAnsi="宋体" w:eastAsia="宋体" w:cs="宋体"/>
          <w:kern w:val="0"/>
          <w:szCs w:val="21"/>
        </w:rPr>
        <w:t>应备有效的消防（防火、防潮、防盗等）设施。</w:t>
      </w:r>
    </w:p>
    <w:p>
      <w:pPr>
        <w:pStyle w:val="3"/>
        <w:spacing w:before="0" w:after="0" w:line="480" w:lineRule="auto"/>
        <w:rPr>
          <w:rFonts w:ascii="黑体" w:hAnsi="黑体" w:eastAsia="黑体" w:cs="Times New Roman"/>
          <w:kern w:val="44"/>
          <w:sz w:val="21"/>
          <w:szCs w:val="21"/>
          <w:lang w:val="zh-CN" w:eastAsia="zh-CN"/>
        </w:rPr>
      </w:pPr>
      <w:r>
        <w:rPr>
          <w:rFonts w:hint="eastAsia" w:ascii="黑体" w:hAnsi="黑体" w:eastAsia="黑体" w:cs="Times New Roman"/>
          <w:kern w:val="44"/>
          <w:sz w:val="21"/>
          <w:szCs w:val="21"/>
          <w:lang w:val="zh-CN"/>
        </w:rPr>
        <w:t>4</w:t>
      </w:r>
      <w:r>
        <w:rPr>
          <w:rFonts w:hint="eastAsia" w:ascii="黑体" w:hAnsi="黑体" w:eastAsia="黑体" w:cs="Times New Roman"/>
          <w:kern w:val="44"/>
          <w:sz w:val="21"/>
          <w:szCs w:val="21"/>
          <w:lang w:val="zh-CN" w:eastAsia="zh-CN"/>
        </w:rPr>
        <w:t>.</w:t>
      </w:r>
      <w:r>
        <w:rPr>
          <w:rFonts w:hint="eastAsia" w:ascii="黑体" w:hAnsi="黑体" w:eastAsia="黑体" w:cs="Times New Roman"/>
          <w:kern w:val="44"/>
          <w:sz w:val="21"/>
          <w:szCs w:val="21"/>
          <w:lang w:val="zh-CN"/>
        </w:rPr>
        <w:t>9</w:t>
      </w:r>
      <w:r>
        <w:rPr>
          <w:rFonts w:hint="eastAsia" w:ascii="黑体" w:hAnsi="黑体" w:eastAsia="黑体" w:cs="Times New Roman"/>
          <w:kern w:val="44"/>
          <w:sz w:val="21"/>
          <w:szCs w:val="21"/>
          <w:lang w:val="zh-CN" w:eastAsia="zh-CN"/>
        </w:rPr>
        <w:t xml:space="preserve">  遮光</w:t>
      </w:r>
    </w:p>
    <w:p>
      <w:pPr>
        <w:spacing w:line="360" w:lineRule="auto"/>
        <w:ind w:firstLine="420" w:firstLineChars="200"/>
        <w:rPr>
          <w:rFonts w:ascii="宋体" w:hAnsi="宋体" w:eastAsia="宋体" w:cs="宋体"/>
          <w:kern w:val="0"/>
          <w:szCs w:val="21"/>
        </w:rPr>
      </w:pPr>
      <w:r>
        <w:rPr>
          <w:rFonts w:hint="eastAsia" w:ascii="宋体" w:hAnsi="宋体" w:eastAsia="宋体" w:cs="宋体"/>
          <w:kern w:val="0"/>
          <w:szCs w:val="21"/>
        </w:rPr>
        <w:t>应避免采用自然光，遮光材料宜采用双层、厚重、无反光、表面粗糙的浅色窗帘遮挡，同时避免选用与人的肤色相近的颜色。</w:t>
      </w:r>
    </w:p>
    <w:p>
      <w:pPr>
        <w:pStyle w:val="3"/>
        <w:spacing w:before="0" w:after="0" w:line="480" w:lineRule="auto"/>
        <w:rPr>
          <w:rFonts w:ascii="黑体" w:hAnsi="黑体" w:eastAsia="黑体" w:cs="Times New Roman"/>
          <w:kern w:val="44"/>
          <w:sz w:val="21"/>
          <w:szCs w:val="21"/>
          <w:lang w:val="zh-CN" w:eastAsia="zh-CN"/>
        </w:rPr>
      </w:pPr>
      <w:r>
        <w:rPr>
          <w:rFonts w:hint="eastAsia" w:ascii="黑体" w:hAnsi="黑体" w:eastAsia="黑体" w:cs="Times New Roman"/>
          <w:kern w:val="44"/>
          <w:sz w:val="21"/>
          <w:szCs w:val="21"/>
          <w:lang w:val="zh-CN"/>
        </w:rPr>
        <w:t>4</w:t>
      </w:r>
      <w:r>
        <w:rPr>
          <w:rFonts w:hint="eastAsia" w:ascii="黑体" w:hAnsi="黑体" w:eastAsia="黑体" w:cs="Times New Roman"/>
          <w:kern w:val="44"/>
          <w:sz w:val="21"/>
          <w:szCs w:val="21"/>
          <w:lang w:val="zh-CN" w:eastAsia="zh-CN"/>
        </w:rPr>
        <w:t>.</w:t>
      </w:r>
      <w:r>
        <w:rPr>
          <w:rFonts w:hint="eastAsia" w:ascii="黑体" w:hAnsi="黑体" w:eastAsia="黑体" w:cs="Times New Roman"/>
          <w:kern w:val="44"/>
          <w:sz w:val="21"/>
          <w:szCs w:val="21"/>
          <w:lang w:val="zh-CN"/>
        </w:rPr>
        <w:t>10</w:t>
      </w:r>
      <w:r>
        <w:rPr>
          <w:rFonts w:hint="eastAsia" w:ascii="黑体" w:hAnsi="黑体" w:eastAsia="黑体" w:cs="Times New Roman"/>
          <w:kern w:val="44"/>
          <w:sz w:val="21"/>
          <w:szCs w:val="21"/>
          <w:lang w:val="zh-CN" w:eastAsia="zh-CN"/>
        </w:rPr>
        <w:t xml:space="preserve">  温度</w:t>
      </w:r>
    </w:p>
    <w:p>
      <w:pPr>
        <w:spacing w:line="360" w:lineRule="auto"/>
        <w:ind w:firstLine="420" w:firstLineChars="200"/>
        <w:rPr>
          <w:rFonts w:ascii="宋体" w:hAnsi="宋体" w:eastAsia="宋体" w:cs="宋体"/>
          <w:kern w:val="0"/>
          <w:szCs w:val="21"/>
        </w:rPr>
      </w:pPr>
      <w:r>
        <w:rPr>
          <w:rFonts w:hint="eastAsia" w:ascii="宋体" w:hAnsi="宋体" w:eastAsia="宋体" w:cs="宋体"/>
          <w:kern w:val="0"/>
          <w:szCs w:val="21"/>
        </w:rPr>
        <w:t>当室内安装空气调节设备时，室内温度夏季宜不高于28℃，冬季宜不低于19℃。</w:t>
      </w:r>
    </w:p>
    <w:p>
      <w:pPr>
        <w:pStyle w:val="3"/>
        <w:spacing w:before="0" w:after="0" w:line="480" w:lineRule="auto"/>
        <w:rPr>
          <w:rFonts w:ascii="黑体" w:hAnsi="黑体" w:eastAsia="黑体" w:cs="Times New Roman"/>
          <w:kern w:val="44"/>
          <w:sz w:val="21"/>
          <w:szCs w:val="21"/>
          <w:lang w:val="zh-CN" w:eastAsia="zh-CN"/>
        </w:rPr>
      </w:pPr>
      <w:r>
        <w:rPr>
          <w:rFonts w:hint="eastAsia" w:ascii="黑体" w:hAnsi="黑体" w:eastAsia="黑体" w:cs="Times New Roman"/>
          <w:kern w:val="44"/>
          <w:sz w:val="21"/>
          <w:szCs w:val="21"/>
          <w:lang w:val="zh-CN"/>
        </w:rPr>
        <w:t>4</w:t>
      </w:r>
      <w:r>
        <w:rPr>
          <w:rFonts w:hint="eastAsia" w:ascii="黑体" w:hAnsi="黑体" w:eastAsia="黑体" w:cs="Times New Roman"/>
          <w:kern w:val="44"/>
          <w:sz w:val="21"/>
          <w:szCs w:val="21"/>
          <w:lang w:val="zh-CN" w:eastAsia="zh-CN"/>
        </w:rPr>
        <w:t>.</w:t>
      </w:r>
      <w:r>
        <w:rPr>
          <w:rFonts w:hint="eastAsia" w:ascii="黑体" w:hAnsi="黑体" w:eastAsia="黑体" w:cs="Times New Roman"/>
          <w:kern w:val="44"/>
          <w:sz w:val="21"/>
          <w:szCs w:val="21"/>
          <w:lang w:val="zh-CN"/>
        </w:rPr>
        <w:t>11</w:t>
      </w:r>
      <w:r>
        <w:rPr>
          <w:rFonts w:hint="eastAsia" w:ascii="黑体" w:hAnsi="黑体" w:eastAsia="黑体" w:cs="Times New Roman"/>
          <w:kern w:val="44"/>
          <w:sz w:val="21"/>
          <w:szCs w:val="21"/>
          <w:lang w:val="zh-CN" w:eastAsia="zh-CN"/>
        </w:rPr>
        <w:t xml:space="preserve">  湿度</w:t>
      </w:r>
    </w:p>
    <w:p>
      <w:pPr>
        <w:spacing w:line="360" w:lineRule="auto"/>
        <w:ind w:firstLine="420" w:firstLineChars="200"/>
        <w:rPr>
          <w:rFonts w:ascii="宋体" w:hAnsi="宋体" w:eastAsia="宋体" w:cs="宋体"/>
          <w:kern w:val="0"/>
          <w:szCs w:val="21"/>
        </w:rPr>
      </w:pPr>
      <w:r>
        <w:rPr>
          <w:rFonts w:hint="eastAsia" w:ascii="宋体" w:hAnsi="宋体" w:eastAsia="宋体" w:cs="宋体"/>
          <w:kern w:val="0"/>
          <w:szCs w:val="21"/>
        </w:rPr>
        <w:t>室内空气的相对湿度宜在50%～70%。</w:t>
      </w:r>
    </w:p>
    <w:p>
      <w:pPr>
        <w:pStyle w:val="3"/>
        <w:spacing w:before="0" w:after="0" w:line="480" w:lineRule="auto"/>
        <w:rPr>
          <w:rFonts w:ascii="黑体" w:hAnsi="黑体" w:eastAsia="黑体" w:cs="Times New Roman"/>
          <w:kern w:val="44"/>
          <w:sz w:val="21"/>
          <w:szCs w:val="21"/>
          <w:lang w:val="zh-CN" w:eastAsia="zh-CN"/>
        </w:rPr>
      </w:pPr>
      <w:r>
        <w:rPr>
          <w:rFonts w:hint="eastAsia" w:ascii="黑体" w:hAnsi="黑体" w:eastAsia="黑体" w:cs="Times New Roman"/>
          <w:kern w:val="44"/>
          <w:sz w:val="21"/>
          <w:szCs w:val="21"/>
          <w:lang w:val="zh-CN"/>
        </w:rPr>
        <w:t>4</w:t>
      </w:r>
      <w:r>
        <w:rPr>
          <w:rFonts w:hint="eastAsia" w:ascii="黑体" w:hAnsi="黑体" w:eastAsia="黑体" w:cs="Times New Roman"/>
          <w:kern w:val="44"/>
          <w:sz w:val="21"/>
          <w:szCs w:val="21"/>
          <w:lang w:val="zh-CN" w:eastAsia="zh-CN"/>
        </w:rPr>
        <w:t>.</w:t>
      </w:r>
      <w:r>
        <w:rPr>
          <w:rFonts w:hint="eastAsia" w:ascii="黑体" w:hAnsi="黑体" w:eastAsia="黑体" w:cs="Times New Roman"/>
          <w:kern w:val="44"/>
          <w:sz w:val="21"/>
          <w:szCs w:val="21"/>
          <w:lang w:val="zh-CN"/>
        </w:rPr>
        <w:t>12</w:t>
      </w:r>
      <w:r>
        <w:rPr>
          <w:rFonts w:hint="eastAsia" w:ascii="黑体" w:hAnsi="黑体" w:eastAsia="黑体" w:cs="Times New Roman"/>
          <w:kern w:val="44"/>
          <w:sz w:val="21"/>
          <w:szCs w:val="21"/>
          <w:lang w:val="zh-CN" w:eastAsia="zh-CN"/>
        </w:rPr>
        <w:t xml:space="preserve">  通风换气</w:t>
      </w:r>
    </w:p>
    <w:p>
      <w:pPr>
        <w:spacing w:line="360" w:lineRule="auto"/>
        <w:ind w:firstLine="420" w:firstLineChars="200"/>
        <w:rPr>
          <w:rFonts w:ascii="宋体" w:hAnsi="宋体" w:eastAsia="宋体" w:cs="宋体"/>
          <w:kern w:val="0"/>
          <w:szCs w:val="21"/>
        </w:rPr>
      </w:pPr>
      <w:r>
        <w:rPr>
          <w:rFonts w:hint="eastAsia" w:ascii="宋体" w:hAnsi="宋体" w:eastAsia="宋体" w:cs="宋体"/>
          <w:kern w:val="0"/>
          <w:szCs w:val="21"/>
        </w:rPr>
        <w:t>室内换气次数要求不低于4次/h，根据室内的实际情况采取自然通风或采取各种强制性的通风措施，保持室内二氧化碳浓度低于1.5‰。</w:t>
      </w:r>
    </w:p>
    <w:p>
      <w:pPr>
        <w:pStyle w:val="3"/>
        <w:spacing w:before="0" w:after="0" w:line="480" w:lineRule="auto"/>
        <w:rPr>
          <w:rFonts w:ascii="黑体" w:hAnsi="黑体" w:eastAsia="黑体" w:cs="Times New Roman"/>
          <w:kern w:val="44"/>
          <w:sz w:val="21"/>
          <w:szCs w:val="21"/>
          <w:lang w:val="zh-CN"/>
        </w:rPr>
      </w:pPr>
      <w:r>
        <w:rPr>
          <w:rFonts w:hint="eastAsia" w:ascii="黑体" w:hAnsi="黑体" w:eastAsia="黑体" w:cs="Times New Roman"/>
          <w:kern w:val="44"/>
          <w:sz w:val="21"/>
          <w:szCs w:val="21"/>
          <w:lang w:val="zh-CN"/>
        </w:rPr>
        <w:t>4</w:t>
      </w:r>
      <w:r>
        <w:rPr>
          <w:rFonts w:hint="eastAsia" w:ascii="黑体" w:hAnsi="黑体" w:eastAsia="黑体" w:cs="Times New Roman"/>
          <w:kern w:val="44"/>
          <w:sz w:val="21"/>
          <w:szCs w:val="21"/>
          <w:lang w:val="zh-CN" w:eastAsia="zh-CN"/>
        </w:rPr>
        <w:t>.</w:t>
      </w:r>
      <w:r>
        <w:rPr>
          <w:rFonts w:hint="eastAsia" w:ascii="黑体" w:hAnsi="黑体" w:eastAsia="黑体" w:cs="Times New Roman"/>
          <w:kern w:val="44"/>
          <w:sz w:val="21"/>
          <w:szCs w:val="21"/>
          <w:lang w:val="zh-CN"/>
        </w:rPr>
        <w:t>13</w:t>
      </w:r>
      <w:r>
        <w:rPr>
          <w:rFonts w:hint="eastAsia" w:ascii="黑体" w:hAnsi="黑体" w:eastAsia="黑体" w:cs="Times New Roman"/>
          <w:kern w:val="44"/>
          <w:sz w:val="21"/>
          <w:szCs w:val="21"/>
          <w:lang w:val="zh-CN" w:eastAsia="zh-CN"/>
        </w:rPr>
        <w:t xml:space="preserve">  照明</w:t>
      </w:r>
    </w:p>
    <w:p>
      <w:pPr>
        <w:spacing w:line="360" w:lineRule="auto"/>
        <w:ind w:firstLine="420" w:firstLineChars="200"/>
        <w:rPr>
          <w:rFonts w:ascii="宋体" w:hAnsi="宋体" w:eastAsia="宋体" w:cs="宋体"/>
          <w:kern w:val="0"/>
          <w:szCs w:val="21"/>
        </w:rPr>
      </w:pPr>
      <w:r>
        <w:rPr>
          <w:rFonts w:hint="eastAsia" w:ascii="宋体" w:hAnsi="宋体" w:eastAsia="宋体" w:cs="宋体"/>
          <w:kern w:val="0"/>
          <w:szCs w:val="21"/>
        </w:rPr>
        <w:t>应采用冷光源，宜采用3300K～5500K色温的三基色荧光灯，电子整流器，显色指数不宜低于80。</w:t>
      </w:r>
    </w:p>
    <w:p>
      <w:pPr>
        <w:pStyle w:val="3"/>
        <w:spacing w:before="0" w:after="0" w:line="480" w:lineRule="auto"/>
        <w:rPr>
          <w:rFonts w:ascii="黑体" w:hAnsi="黑体" w:eastAsia="黑体" w:cs="Times New Roman"/>
          <w:kern w:val="44"/>
          <w:sz w:val="21"/>
          <w:szCs w:val="21"/>
          <w:lang w:val="zh-CN" w:eastAsia="zh-CN"/>
        </w:rPr>
      </w:pPr>
      <w:r>
        <w:rPr>
          <w:rFonts w:hint="eastAsia" w:ascii="黑体" w:hAnsi="黑体" w:eastAsia="黑体" w:cs="Times New Roman"/>
          <w:kern w:val="44"/>
          <w:sz w:val="21"/>
          <w:szCs w:val="21"/>
          <w:lang w:val="zh-CN"/>
        </w:rPr>
        <w:t>4</w:t>
      </w:r>
      <w:r>
        <w:rPr>
          <w:rFonts w:hint="eastAsia" w:ascii="黑体" w:hAnsi="黑体" w:eastAsia="黑体" w:cs="Times New Roman"/>
          <w:kern w:val="44"/>
          <w:sz w:val="21"/>
          <w:szCs w:val="21"/>
          <w:lang w:val="zh-CN" w:eastAsia="zh-CN"/>
        </w:rPr>
        <w:t>.</w:t>
      </w:r>
      <w:r>
        <w:rPr>
          <w:rFonts w:hint="eastAsia" w:ascii="黑体" w:hAnsi="黑体" w:eastAsia="黑体" w:cs="Times New Roman"/>
          <w:kern w:val="44"/>
          <w:sz w:val="21"/>
          <w:szCs w:val="21"/>
          <w:lang w:val="zh-CN"/>
        </w:rPr>
        <w:t>14</w:t>
      </w:r>
      <w:r>
        <w:rPr>
          <w:rFonts w:hint="eastAsia" w:ascii="黑体" w:hAnsi="黑体" w:eastAsia="黑体" w:cs="Times New Roman"/>
          <w:kern w:val="44"/>
          <w:sz w:val="21"/>
          <w:szCs w:val="21"/>
          <w:lang w:val="zh-CN" w:eastAsia="zh-CN"/>
        </w:rPr>
        <w:t xml:space="preserve">  环保</w:t>
      </w:r>
    </w:p>
    <w:p>
      <w:pPr>
        <w:spacing w:line="360" w:lineRule="auto"/>
        <w:ind w:firstLine="420" w:firstLineChars="200"/>
        <w:rPr>
          <w:rFonts w:ascii="宋体" w:hAnsi="宋体" w:eastAsia="宋体" w:cs="宋体"/>
          <w:kern w:val="0"/>
          <w:szCs w:val="21"/>
        </w:rPr>
      </w:pPr>
      <w:r>
        <w:rPr>
          <w:rFonts w:hint="eastAsia" w:ascii="宋体" w:hAnsi="宋体" w:eastAsia="宋体" w:cs="宋体"/>
          <w:kern w:val="0"/>
          <w:szCs w:val="21"/>
        </w:rPr>
        <w:t>新建、改建、扩建的专用教室，甲醛、苯、氡等有害气体和放射性污染应符合GB 18580-2001、GB 18581-2001、GB 18583-2001、GB 18584-2001标准中的限量值。</w:t>
      </w:r>
    </w:p>
    <w:p>
      <w:pPr>
        <w:pStyle w:val="2"/>
        <w:spacing w:before="0" w:after="0" w:line="720" w:lineRule="auto"/>
        <w:rPr>
          <w:rFonts w:ascii="黑体" w:hAnsi="黑体" w:eastAsia="黑体"/>
          <w:sz w:val="21"/>
          <w:szCs w:val="21"/>
          <w:lang w:val="zh-CN" w:eastAsia="zh-CN"/>
        </w:rPr>
      </w:pPr>
      <w:r>
        <w:rPr>
          <w:rFonts w:hint="eastAsia" w:ascii="黑体" w:hAnsi="黑体" w:eastAsia="黑体"/>
          <w:sz w:val="21"/>
          <w:szCs w:val="21"/>
          <w:lang w:val="zh-CN"/>
        </w:rPr>
        <w:t xml:space="preserve">5  </w:t>
      </w:r>
      <w:r>
        <w:rPr>
          <w:rFonts w:hint="eastAsia" w:ascii="黑体" w:hAnsi="黑体" w:eastAsia="黑体"/>
          <w:sz w:val="21"/>
          <w:szCs w:val="21"/>
          <w:lang w:val="zh-CN" w:eastAsia="zh-CN"/>
        </w:rPr>
        <w:t>装备内容</w:t>
      </w:r>
    </w:p>
    <w:p>
      <w:pPr>
        <w:spacing w:line="360" w:lineRule="auto"/>
        <w:ind w:firstLine="420" w:firstLineChars="200"/>
        <w:rPr>
          <w:rFonts w:ascii="宋体" w:hAnsi="宋体" w:eastAsia="宋体" w:cs="宋体"/>
          <w:kern w:val="0"/>
          <w:szCs w:val="21"/>
        </w:rPr>
      </w:pPr>
      <w:r>
        <w:rPr>
          <w:rFonts w:hint="eastAsia" w:ascii="宋体" w:hAnsi="宋体" w:eastAsia="宋体" w:cs="宋体"/>
          <w:kern w:val="0"/>
          <w:szCs w:val="21"/>
        </w:rPr>
        <w:t>按照每个教室40人为例，制定表1配备要求，学校可根据实际情况选择性配备，且不限于此表。</w:t>
      </w:r>
    </w:p>
    <w:p>
      <w:pPr>
        <w:pStyle w:val="3"/>
        <w:spacing w:before="0" w:after="0" w:line="480" w:lineRule="auto"/>
        <w:rPr>
          <w:rFonts w:ascii="黑体" w:hAnsi="黑体" w:eastAsia="黑体"/>
          <w:kern w:val="44"/>
          <w:sz w:val="21"/>
          <w:szCs w:val="21"/>
        </w:rPr>
      </w:pPr>
      <w:r>
        <w:rPr>
          <w:rFonts w:hint="eastAsia" w:ascii="黑体" w:hAnsi="黑体" w:eastAsia="黑体"/>
          <w:kern w:val="44"/>
          <w:sz w:val="21"/>
          <w:szCs w:val="21"/>
        </w:rPr>
        <w:t>5.1   数字美术教室配备要求</w:t>
      </w:r>
    </w:p>
    <w:p>
      <w:pPr>
        <w:ind w:firstLine="3150" w:firstLineChars="1500"/>
        <w:rPr>
          <w:rFonts w:ascii="宋体" w:hAnsi="宋体" w:eastAsia="宋体"/>
        </w:rPr>
      </w:pPr>
      <w:r>
        <w:rPr>
          <w:rFonts w:hint="eastAsia" w:ascii="宋体" w:hAnsi="宋体" w:eastAsia="宋体"/>
        </w:rPr>
        <w:t>表1</w:t>
      </w:r>
      <w:r>
        <w:rPr>
          <w:rFonts w:hint="eastAsia" w:ascii="宋体" w:hAnsi="宋体" w:eastAsia="宋体"/>
          <w:lang w:val="en-US" w:eastAsia="zh-CN"/>
        </w:rPr>
        <w:t xml:space="preserve"> </w:t>
      </w:r>
      <w:bookmarkStart w:id="1" w:name="_GoBack"/>
      <w:bookmarkEnd w:id="1"/>
      <w:r>
        <w:rPr>
          <w:rFonts w:hint="eastAsia" w:ascii="宋体" w:hAnsi="宋体" w:eastAsia="宋体"/>
        </w:rPr>
        <w:t>配备要求</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743"/>
        <w:gridCol w:w="4211"/>
        <w:gridCol w:w="709"/>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tcPr>
          <w:p>
            <w:pPr>
              <w:jc w:val="center"/>
              <w:rPr>
                <w:rFonts w:ascii="宋体" w:hAnsi="宋体" w:eastAsia="宋体"/>
                <w:b/>
                <w:szCs w:val="21"/>
              </w:rPr>
            </w:pPr>
            <w:r>
              <w:rPr>
                <w:rFonts w:hint="eastAsia" w:ascii="宋体" w:hAnsi="宋体" w:eastAsia="宋体" w:cs="宋体"/>
                <w:b/>
                <w:color w:val="000000"/>
                <w:kern w:val="0"/>
                <w:szCs w:val="21"/>
              </w:rPr>
              <w:t>序号</w:t>
            </w:r>
          </w:p>
        </w:tc>
        <w:tc>
          <w:tcPr>
            <w:tcW w:w="1743" w:type="dxa"/>
          </w:tcPr>
          <w:p>
            <w:pPr>
              <w:jc w:val="center"/>
              <w:rPr>
                <w:rFonts w:ascii="宋体" w:hAnsi="宋体" w:eastAsia="宋体"/>
                <w:b/>
                <w:szCs w:val="21"/>
              </w:rPr>
            </w:pPr>
            <w:r>
              <w:rPr>
                <w:rFonts w:hint="eastAsia" w:ascii="宋体" w:hAnsi="宋体" w:eastAsia="宋体" w:cs="宋体"/>
                <w:b/>
                <w:color w:val="000000"/>
                <w:kern w:val="0"/>
                <w:szCs w:val="21"/>
              </w:rPr>
              <w:t>设备名称</w:t>
            </w:r>
          </w:p>
        </w:tc>
        <w:tc>
          <w:tcPr>
            <w:tcW w:w="4211" w:type="dxa"/>
          </w:tcPr>
          <w:p>
            <w:pPr>
              <w:rPr>
                <w:rFonts w:ascii="宋体" w:hAnsi="宋体" w:eastAsia="宋体"/>
                <w:b/>
                <w:szCs w:val="21"/>
              </w:rPr>
            </w:pPr>
            <w:r>
              <w:rPr>
                <w:rFonts w:hint="eastAsia" w:ascii="宋体" w:hAnsi="宋体" w:eastAsia="宋体" w:cs="宋体"/>
                <w:b/>
                <w:color w:val="000000"/>
                <w:kern w:val="0"/>
                <w:szCs w:val="21"/>
              </w:rPr>
              <w:t>功能规格</w:t>
            </w:r>
          </w:p>
        </w:tc>
        <w:tc>
          <w:tcPr>
            <w:tcW w:w="709" w:type="dxa"/>
          </w:tcPr>
          <w:p>
            <w:pPr>
              <w:jc w:val="center"/>
              <w:rPr>
                <w:rFonts w:ascii="宋体" w:hAnsi="宋体" w:eastAsia="宋体"/>
                <w:b/>
                <w:szCs w:val="21"/>
              </w:rPr>
            </w:pPr>
            <w:r>
              <w:rPr>
                <w:rFonts w:hint="eastAsia" w:ascii="宋体" w:hAnsi="宋体" w:eastAsia="宋体" w:cs="宋体"/>
                <w:b/>
                <w:color w:val="000000"/>
                <w:kern w:val="0"/>
                <w:szCs w:val="21"/>
              </w:rPr>
              <w:t>单位</w:t>
            </w:r>
          </w:p>
        </w:tc>
        <w:tc>
          <w:tcPr>
            <w:tcW w:w="1184" w:type="dxa"/>
          </w:tcPr>
          <w:p>
            <w:pPr>
              <w:jc w:val="center"/>
              <w:rPr>
                <w:rFonts w:ascii="宋体" w:hAnsi="宋体" w:eastAsia="宋体"/>
                <w:b/>
                <w:szCs w:val="21"/>
              </w:rPr>
            </w:pPr>
            <w:r>
              <w:rPr>
                <w:rFonts w:hint="eastAsia" w:ascii="宋体" w:hAnsi="宋体" w:eastAsia="宋体" w:cs="宋体"/>
                <w:b/>
                <w:color w:val="000000"/>
                <w:kern w:val="0"/>
                <w:szCs w:val="21"/>
              </w:rPr>
              <w:t>配备数量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tcPr>
          <w:p>
            <w:pPr>
              <w:rPr>
                <w:rFonts w:ascii="宋体" w:hAnsi="宋体" w:eastAsia="宋体" w:cs="宋体"/>
                <w:b/>
                <w:color w:val="000000"/>
                <w:kern w:val="0"/>
                <w:szCs w:val="21"/>
              </w:rPr>
            </w:pPr>
            <w:r>
              <w:rPr>
                <w:rFonts w:hint="eastAsia" w:ascii="宋体" w:hAnsi="宋体" w:eastAsia="宋体" w:cs="宋体"/>
                <w:b/>
                <w:color w:val="000000"/>
                <w:kern w:val="0"/>
                <w:szCs w:val="21"/>
              </w:rPr>
              <w:t>一、多媒体设备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tcPr>
          <w:p>
            <w:pPr>
              <w:jc w:val="center"/>
              <w:rPr>
                <w:rFonts w:ascii="宋体" w:hAnsi="宋体" w:eastAsia="宋体"/>
                <w:szCs w:val="21"/>
              </w:rPr>
            </w:pPr>
            <w:r>
              <w:rPr>
                <w:rFonts w:hint="eastAsia" w:ascii="宋体" w:hAnsi="宋体" w:eastAsia="宋体"/>
                <w:szCs w:val="21"/>
              </w:rPr>
              <w:t>1</w:t>
            </w:r>
          </w:p>
        </w:tc>
        <w:tc>
          <w:tcPr>
            <w:tcW w:w="1743" w:type="dxa"/>
          </w:tcPr>
          <w:p>
            <w:pPr>
              <w:jc w:val="center"/>
              <w:rPr>
                <w:rFonts w:ascii="宋体" w:hAnsi="宋体" w:eastAsia="宋体"/>
                <w:szCs w:val="21"/>
              </w:rPr>
            </w:pPr>
            <w:r>
              <w:rPr>
                <w:rFonts w:hint="eastAsia" w:ascii="宋体" w:hAnsi="宋体" w:eastAsia="宋体" w:cs="宋体"/>
                <w:color w:val="000000"/>
                <w:kern w:val="0"/>
                <w:szCs w:val="21"/>
              </w:rPr>
              <w:t>多媒体系统</w:t>
            </w:r>
          </w:p>
        </w:tc>
        <w:tc>
          <w:tcPr>
            <w:tcW w:w="4211" w:type="dxa"/>
          </w:tcPr>
          <w:p>
            <w:pPr>
              <w:rPr>
                <w:rFonts w:ascii="宋体" w:hAnsi="宋体" w:eastAsia="宋体"/>
                <w:szCs w:val="21"/>
              </w:rPr>
            </w:pPr>
            <w:r>
              <w:rPr>
                <w:rFonts w:hint="eastAsia" w:ascii="宋体" w:hAnsi="宋体" w:eastAsia="宋体" w:cs="宋体"/>
                <w:color w:val="000000"/>
                <w:kern w:val="0"/>
                <w:szCs w:val="21"/>
              </w:rPr>
              <w:t>包含多媒体计算机、投影机、电子白板、视频展示台、中央控制器和专用讲台以及系统附件。</w:t>
            </w:r>
          </w:p>
        </w:tc>
        <w:tc>
          <w:tcPr>
            <w:tcW w:w="709" w:type="dxa"/>
          </w:tcPr>
          <w:p>
            <w:pPr>
              <w:jc w:val="center"/>
              <w:rPr>
                <w:rFonts w:ascii="宋体" w:hAnsi="宋体" w:eastAsia="宋体"/>
                <w:szCs w:val="21"/>
              </w:rPr>
            </w:pPr>
            <w:r>
              <w:rPr>
                <w:rFonts w:hint="eastAsia" w:ascii="宋体" w:hAnsi="宋体" w:eastAsia="宋体"/>
                <w:szCs w:val="21"/>
              </w:rPr>
              <w:t>套</w:t>
            </w:r>
          </w:p>
        </w:tc>
        <w:tc>
          <w:tcPr>
            <w:tcW w:w="1184" w:type="dxa"/>
          </w:tcPr>
          <w:p>
            <w:pPr>
              <w:jc w:val="center"/>
              <w:rPr>
                <w:rFonts w:ascii="宋体" w:hAnsi="宋体" w:eastAsia="宋体"/>
                <w:szCs w:val="21"/>
              </w:rPr>
            </w:pPr>
            <w:r>
              <w:rPr>
                <w:rFonts w:ascii="宋体" w:hAnsi="宋体" w:eastAsia="宋体" w:cs="宋体"/>
                <w:color w:val="000000"/>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tcPr>
          <w:p>
            <w:pPr>
              <w:jc w:val="center"/>
              <w:rPr>
                <w:rFonts w:ascii="宋体" w:hAnsi="宋体" w:eastAsia="宋体"/>
                <w:szCs w:val="21"/>
              </w:rPr>
            </w:pPr>
            <w:r>
              <w:rPr>
                <w:rFonts w:hint="eastAsia" w:ascii="宋体" w:hAnsi="宋体" w:eastAsia="宋体"/>
                <w:szCs w:val="21"/>
              </w:rPr>
              <w:t>2</w:t>
            </w:r>
          </w:p>
        </w:tc>
        <w:tc>
          <w:tcPr>
            <w:tcW w:w="1743"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计算机</w:t>
            </w:r>
          </w:p>
        </w:tc>
        <w:tc>
          <w:tcPr>
            <w:tcW w:w="4211" w:type="dxa"/>
            <w:vAlign w:val="center"/>
          </w:tcPr>
          <w:p>
            <w:pPr>
              <w:tabs>
                <w:tab w:val="left" w:pos="1080"/>
              </w:tabs>
              <w:adjustRightInd w:val="0"/>
              <w:spacing w:line="40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符合教学需求</w:t>
            </w:r>
          </w:p>
        </w:tc>
        <w:tc>
          <w:tcPr>
            <w:tcW w:w="709" w:type="dxa"/>
          </w:tcPr>
          <w:p>
            <w:pPr>
              <w:jc w:val="center"/>
              <w:rPr>
                <w:rFonts w:ascii="宋体" w:hAnsi="宋体" w:eastAsia="宋体"/>
                <w:szCs w:val="21"/>
              </w:rPr>
            </w:pPr>
            <w:r>
              <w:rPr>
                <w:rFonts w:hint="eastAsia" w:ascii="宋体" w:hAnsi="宋体" w:eastAsia="宋体" w:cs="宋体"/>
                <w:color w:val="000000"/>
                <w:kern w:val="0"/>
                <w:szCs w:val="21"/>
              </w:rPr>
              <w:t>台</w:t>
            </w:r>
          </w:p>
        </w:tc>
        <w:tc>
          <w:tcPr>
            <w:tcW w:w="1184" w:type="dxa"/>
          </w:tcPr>
          <w:p>
            <w:pPr>
              <w:jc w:val="center"/>
              <w:rPr>
                <w:rFonts w:ascii="宋体" w:hAnsi="宋体" w:eastAsia="宋体"/>
                <w:szCs w:val="21"/>
              </w:rPr>
            </w:pPr>
            <w:r>
              <w:rPr>
                <w:rFonts w:ascii="宋体" w:hAnsi="宋体" w:eastAsia="宋体" w:cs="宋体"/>
                <w:color w:val="000000"/>
                <w:kern w:val="0"/>
                <w:szCs w:val="21"/>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tcPr>
          <w:p>
            <w:pPr>
              <w:jc w:val="center"/>
              <w:rPr>
                <w:rFonts w:ascii="宋体" w:hAnsi="宋体" w:eastAsia="宋体"/>
                <w:szCs w:val="21"/>
              </w:rPr>
            </w:pPr>
            <w:r>
              <w:rPr>
                <w:rFonts w:hint="eastAsia" w:ascii="宋体" w:hAnsi="宋体" w:eastAsia="宋体"/>
                <w:szCs w:val="21"/>
              </w:rPr>
              <w:t>3</w:t>
            </w:r>
          </w:p>
        </w:tc>
        <w:tc>
          <w:tcPr>
            <w:tcW w:w="1743"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打印机</w:t>
            </w:r>
          </w:p>
        </w:tc>
        <w:tc>
          <w:tcPr>
            <w:tcW w:w="4211" w:type="dxa"/>
            <w:vAlign w:val="center"/>
          </w:tcPr>
          <w:p>
            <w:pPr>
              <w:tabs>
                <w:tab w:val="left" w:pos="1080"/>
              </w:tabs>
              <w:adjustRightInd w:val="0"/>
              <w:spacing w:line="40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符合教学需求</w:t>
            </w:r>
          </w:p>
        </w:tc>
        <w:tc>
          <w:tcPr>
            <w:tcW w:w="709" w:type="dxa"/>
          </w:tcPr>
          <w:p>
            <w:pPr>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184" w:type="dxa"/>
          </w:tcPr>
          <w:p>
            <w:pPr>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tcPr>
          <w:p>
            <w:pPr>
              <w:rPr>
                <w:rFonts w:ascii="宋体" w:hAnsi="宋体" w:eastAsia="宋体" w:cs="宋体"/>
                <w:b/>
                <w:color w:val="000000"/>
                <w:kern w:val="0"/>
                <w:szCs w:val="21"/>
              </w:rPr>
            </w:pPr>
            <w:r>
              <w:rPr>
                <w:rFonts w:hint="eastAsia" w:ascii="宋体" w:hAnsi="宋体" w:eastAsia="宋体"/>
                <w:b/>
                <w:szCs w:val="21"/>
              </w:rPr>
              <w:t>二、教学硬件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tcPr>
          <w:p>
            <w:pPr>
              <w:jc w:val="center"/>
              <w:rPr>
                <w:rFonts w:ascii="宋体" w:hAnsi="宋体" w:eastAsia="宋体"/>
                <w:szCs w:val="21"/>
              </w:rPr>
            </w:pPr>
            <w:r>
              <w:rPr>
                <w:rFonts w:hint="eastAsia" w:ascii="宋体" w:hAnsi="宋体" w:eastAsia="宋体"/>
                <w:szCs w:val="21"/>
              </w:rPr>
              <w:t>4</w:t>
            </w:r>
          </w:p>
        </w:tc>
        <w:tc>
          <w:tcPr>
            <w:tcW w:w="1743" w:type="dxa"/>
          </w:tcPr>
          <w:p>
            <w:pPr>
              <w:jc w:val="center"/>
              <w:rPr>
                <w:rFonts w:ascii="宋体" w:hAnsi="宋体" w:eastAsia="宋体"/>
                <w:szCs w:val="21"/>
              </w:rPr>
            </w:pPr>
            <w:r>
              <w:rPr>
                <w:rFonts w:hint="eastAsia" w:ascii="宋体" w:hAnsi="宋体" w:eastAsia="宋体" w:cs="宋体"/>
                <w:color w:val="000000"/>
                <w:kern w:val="0"/>
                <w:szCs w:val="21"/>
              </w:rPr>
              <w:t>多功能绘画板</w:t>
            </w:r>
          </w:p>
        </w:tc>
        <w:tc>
          <w:tcPr>
            <w:tcW w:w="4211" w:type="dxa"/>
          </w:tcPr>
          <w:p>
            <w:pPr>
              <w:rPr>
                <w:rFonts w:ascii="宋体" w:hAnsi="宋体" w:eastAsia="宋体"/>
                <w:szCs w:val="21"/>
              </w:rPr>
            </w:pPr>
            <w:r>
              <w:rPr>
                <w:rFonts w:hint="eastAsia" w:ascii="宋体" w:hAnsi="宋体" w:eastAsia="宋体" w:cs="宋体"/>
                <w:color w:val="000000"/>
                <w:kern w:val="0"/>
                <w:szCs w:val="21"/>
              </w:rPr>
              <w:t>数位板</w:t>
            </w:r>
          </w:p>
        </w:tc>
        <w:tc>
          <w:tcPr>
            <w:tcW w:w="709" w:type="dxa"/>
          </w:tcPr>
          <w:p>
            <w:pPr>
              <w:jc w:val="center"/>
              <w:rPr>
                <w:rFonts w:ascii="宋体" w:hAnsi="宋体" w:eastAsia="宋体"/>
                <w:szCs w:val="21"/>
              </w:rPr>
            </w:pPr>
            <w:r>
              <w:rPr>
                <w:rFonts w:hint="eastAsia" w:ascii="宋体" w:hAnsi="宋体" w:eastAsia="宋体"/>
                <w:szCs w:val="21"/>
              </w:rPr>
              <w:t>块</w:t>
            </w:r>
          </w:p>
        </w:tc>
        <w:tc>
          <w:tcPr>
            <w:tcW w:w="1184" w:type="dxa"/>
          </w:tcPr>
          <w:p>
            <w:pPr>
              <w:jc w:val="center"/>
              <w:rPr>
                <w:rFonts w:ascii="宋体" w:hAnsi="宋体" w:eastAsia="宋体"/>
                <w:szCs w:val="21"/>
              </w:rPr>
            </w:pPr>
            <w:r>
              <w:rPr>
                <w:rFonts w:ascii="宋体" w:hAnsi="宋体" w:eastAsia="宋体" w:cs="宋体"/>
                <w:color w:val="000000"/>
                <w:kern w:val="0"/>
                <w:szCs w:val="21"/>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tcPr>
          <w:p>
            <w:pPr>
              <w:rPr>
                <w:rFonts w:ascii="宋体" w:hAnsi="宋体" w:eastAsia="宋体" w:cs="宋体"/>
                <w:color w:val="000000"/>
                <w:kern w:val="0"/>
                <w:szCs w:val="21"/>
              </w:rPr>
            </w:pPr>
            <w:r>
              <w:rPr>
                <w:rFonts w:hint="eastAsia" w:ascii="宋体" w:hAnsi="宋体" w:eastAsia="宋体"/>
                <w:b/>
                <w:szCs w:val="21"/>
              </w:rPr>
              <w:t>三、教学软件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tcPr>
          <w:p>
            <w:pPr>
              <w:jc w:val="center"/>
              <w:rPr>
                <w:rFonts w:ascii="宋体" w:hAnsi="宋体" w:eastAsia="宋体"/>
                <w:szCs w:val="21"/>
              </w:rPr>
            </w:pPr>
            <w:r>
              <w:rPr>
                <w:rFonts w:hint="eastAsia" w:ascii="宋体" w:hAnsi="宋体" w:eastAsia="宋体"/>
                <w:szCs w:val="21"/>
              </w:rPr>
              <w:t>5</w:t>
            </w:r>
          </w:p>
        </w:tc>
        <w:tc>
          <w:tcPr>
            <w:tcW w:w="1743" w:type="dxa"/>
          </w:tcPr>
          <w:p>
            <w:pPr>
              <w:jc w:val="center"/>
              <w:rPr>
                <w:rFonts w:ascii="宋体" w:hAnsi="宋体" w:eastAsia="宋体"/>
                <w:szCs w:val="21"/>
              </w:rPr>
            </w:pPr>
            <w:r>
              <w:rPr>
                <w:rFonts w:hint="eastAsia" w:ascii="宋体" w:hAnsi="宋体" w:eastAsia="宋体" w:cs="宋体"/>
                <w:color w:val="000000"/>
                <w:kern w:val="0"/>
                <w:szCs w:val="21"/>
              </w:rPr>
              <w:t>网络教学软件</w:t>
            </w:r>
          </w:p>
        </w:tc>
        <w:tc>
          <w:tcPr>
            <w:tcW w:w="4211" w:type="dxa"/>
          </w:tcPr>
          <w:p>
            <w:pPr>
              <w:rPr>
                <w:rFonts w:ascii="宋体" w:hAnsi="宋体" w:eastAsia="宋体"/>
                <w:szCs w:val="21"/>
              </w:rPr>
            </w:pPr>
            <w:r>
              <w:rPr>
                <w:rFonts w:hint="eastAsia" w:ascii="宋体" w:hAnsi="宋体" w:eastAsia="宋体"/>
                <w:szCs w:val="21"/>
              </w:rPr>
              <w:t>至少包含画笔功能，图像处理功能，抠图功能，插入素材功能，图片输入、导出、保存功能，设计测量功能，动画制作功能，微课制作功能</w:t>
            </w:r>
          </w:p>
        </w:tc>
        <w:tc>
          <w:tcPr>
            <w:tcW w:w="709" w:type="dxa"/>
          </w:tcPr>
          <w:p>
            <w:pPr>
              <w:jc w:val="center"/>
              <w:rPr>
                <w:rFonts w:ascii="宋体" w:hAnsi="宋体" w:eastAsia="宋体"/>
                <w:szCs w:val="21"/>
              </w:rPr>
            </w:pPr>
            <w:r>
              <w:rPr>
                <w:rFonts w:hint="eastAsia" w:ascii="宋体" w:hAnsi="宋体" w:eastAsia="宋体"/>
                <w:szCs w:val="21"/>
              </w:rPr>
              <w:t>套</w:t>
            </w:r>
          </w:p>
        </w:tc>
        <w:tc>
          <w:tcPr>
            <w:tcW w:w="1184" w:type="dxa"/>
          </w:tcPr>
          <w:p>
            <w:pPr>
              <w:jc w:val="center"/>
              <w:rPr>
                <w:rFonts w:ascii="宋体" w:hAnsi="宋体" w:eastAsia="宋体"/>
                <w:szCs w:val="21"/>
              </w:rPr>
            </w:pPr>
            <w:r>
              <w:rPr>
                <w:rFonts w:ascii="宋体" w:hAnsi="宋体" w:eastAsia="宋体" w:cs="宋体"/>
                <w:color w:val="000000"/>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tcPr>
          <w:p>
            <w:pPr>
              <w:jc w:val="center"/>
              <w:rPr>
                <w:rFonts w:ascii="宋体" w:hAnsi="宋体" w:eastAsia="宋体"/>
                <w:szCs w:val="21"/>
              </w:rPr>
            </w:pPr>
            <w:r>
              <w:rPr>
                <w:rFonts w:hint="eastAsia" w:ascii="宋体" w:hAnsi="宋体" w:eastAsia="宋体"/>
                <w:szCs w:val="21"/>
              </w:rPr>
              <w:t>6</w:t>
            </w:r>
          </w:p>
        </w:tc>
        <w:tc>
          <w:tcPr>
            <w:tcW w:w="1743" w:type="dxa"/>
          </w:tcPr>
          <w:p>
            <w:pPr>
              <w:jc w:val="center"/>
              <w:rPr>
                <w:rFonts w:ascii="宋体" w:hAnsi="宋体" w:eastAsia="宋体"/>
                <w:szCs w:val="21"/>
              </w:rPr>
            </w:pPr>
            <w:r>
              <w:rPr>
                <w:rFonts w:hint="eastAsia" w:ascii="宋体" w:hAnsi="宋体" w:eastAsia="宋体" w:cs="宋体"/>
                <w:color w:val="000000"/>
                <w:kern w:val="0"/>
                <w:szCs w:val="21"/>
              </w:rPr>
              <w:t>美术云平台</w:t>
            </w:r>
          </w:p>
        </w:tc>
        <w:tc>
          <w:tcPr>
            <w:tcW w:w="4211" w:type="dxa"/>
          </w:tcPr>
          <w:p>
            <w:pPr>
              <w:rPr>
                <w:rFonts w:ascii="宋体" w:hAnsi="宋体" w:eastAsia="宋体"/>
                <w:szCs w:val="21"/>
              </w:rPr>
            </w:pPr>
            <w:r>
              <w:rPr>
                <w:rFonts w:hint="eastAsia" w:ascii="宋体" w:hAnsi="宋体" w:eastAsia="宋体"/>
                <w:szCs w:val="21"/>
              </w:rPr>
              <w:t>支持</w:t>
            </w:r>
            <w:r>
              <w:rPr>
                <w:rFonts w:ascii="宋体" w:hAnsi="宋体" w:eastAsia="宋体"/>
                <w:szCs w:val="21"/>
              </w:rPr>
              <w:t>Windows、安卓等操作系统；支持PC、平板、手机等各种台式和移动终端</w:t>
            </w:r>
            <w:r>
              <w:rPr>
                <w:rFonts w:hint="eastAsia" w:ascii="宋体" w:hAnsi="宋体" w:eastAsia="宋体"/>
                <w:szCs w:val="21"/>
              </w:rPr>
              <w:t>；可在互联网环境下进行在线创作、在线备课、在线授课、在线评价等功能；具备教学资源库</w:t>
            </w:r>
          </w:p>
        </w:tc>
        <w:tc>
          <w:tcPr>
            <w:tcW w:w="709" w:type="dxa"/>
          </w:tcPr>
          <w:p>
            <w:pPr>
              <w:jc w:val="center"/>
              <w:rPr>
                <w:rFonts w:ascii="宋体" w:hAnsi="宋体" w:eastAsia="宋体"/>
                <w:szCs w:val="21"/>
              </w:rPr>
            </w:pPr>
            <w:r>
              <w:rPr>
                <w:rFonts w:hint="eastAsia" w:ascii="宋体" w:hAnsi="宋体" w:eastAsia="宋体"/>
                <w:szCs w:val="21"/>
              </w:rPr>
              <w:t>套</w:t>
            </w:r>
          </w:p>
        </w:tc>
        <w:tc>
          <w:tcPr>
            <w:tcW w:w="1184" w:type="dxa"/>
          </w:tcPr>
          <w:p>
            <w:pPr>
              <w:jc w:val="center"/>
              <w:rPr>
                <w:rFonts w:ascii="宋体" w:hAnsi="宋体" w:eastAsia="宋体"/>
                <w:szCs w:val="21"/>
              </w:rPr>
            </w:pPr>
            <w:r>
              <w:rPr>
                <w:rFonts w:ascii="宋体" w:hAnsi="宋体" w:eastAsia="宋体" w:cs="宋体"/>
                <w:color w:val="000000"/>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tcPr>
          <w:p>
            <w:pPr>
              <w:rPr>
                <w:rFonts w:ascii="宋体" w:hAnsi="宋体" w:eastAsia="宋体"/>
                <w:szCs w:val="21"/>
              </w:rPr>
            </w:pPr>
            <w:r>
              <w:rPr>
                <w:rFonts w:hint="eastAsia" w:ascii="宋体" w:hAnsi="宋体" w:eastAsia="宋体"/>
                <w:b/>
                <w:szCs w:val="21"/>
              </w:rPr>
              <w:t>四、基础设施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tcPr>
          <w:p>
            <w:pPr>
              <w:jc w:val="center"/>
              <w:rPr>
                <w:rFonts w:ascii="宋体" w:hAnsi="宋体" w:eastAsia="宋体"/>
                <w:szCs w:val="21"/>
              </w:rPr>
            </w:pPr>
            <w:r>
              <w:rPr>
                <w:rFonts w:hint="eastAsia" w:ascii="宋体" w:hAnsi="宋体" w:eastAsia="宋体"/>
                <w:szCs w:val="21"/>
              </w:rPr>
              <w:t>7</w:t>
            </w:r>
          </w:p>
        </w:tc>
        <w:tc>
          <w:tcPr>
            <w:tcW w:w="1743"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数字美术桌椅</w:t>
            </w:r>
          </w:p>
        </w:tc>
        <w:tc>
          <w:tcPr>
            <w:tcW w:w="4211" w:type="dxa"/>
            <w:vAlign w:val="center"/>
          </w:tcPr>
          <w:p>
            <w:pPr>
              <w:tabs>
                <w:tab w:val="left" w:pos="1080"/>
              </w:tabs>
              <w:adjustRightInd w:val="0"/>
              <w:spacing w:line="40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宜双人桌，生均有效操作面积不小于800mm×600mm，用于进行数字美术课程的学习、操作等活动。学生凳高度适宜，无棱角</w:t>
            </w:r>
          </w:p>
        </w:tc>
        <w:tc>
          <w:tcPr>
            <w:tcW w:w="709" w:type="dxa"/>
          </w:tcPr>
          <w:p>
            <w:pPr>
              <w:jc w:val="center"/>
              <w:rPr>
                <w:rFonts w:ascii="宋体" w:hAnsi="宋体" w:eastAsia="宋体"/>
                <w:szCs w:val="21"/>
              </w:rPr>
            </w:pPr>
            <w:r>
              <w:rPr>
                <w:rFonts w:hint="eastAsia" w:ascii="宋体" w:hAnsi="宋体" w:eastAsia="宋体"/>
                <w:szCs w:val="21"/>
              </w:rPr>
              <w:t>套</w:t>
            </w:r>
          </w:p>
        </w:tc>
        <w:tc>
          <w:tcPr>
            <w:tcW w:w="1184" w:type="dxa"/>
          </w:tcPr>
          <w:p>
            <w:pPr>
              <w:jc w:val="center"/>
              <w:rPr>
                <w:rFonts w:ascii="宋体" w:hAnsi="宋体" w:eastAsia="宋体"/>
                <w:szCs w:val="21"/>
              </w:rPr>
            </w:pPr>
            <w:r>
              <w:rPr>
                <w:rFonts w:ascii="宋体" w:hAnsi="宋体" w:eastAsia="宋体"/>
                <w:szCs w:val="21"/>
              </w:rPr>
              <w:t>2</w:t>
            </w:r>
            <w:r>
              <w:rPr>
                <w:rFonts w:hint="eastAsia" w:ascii="宋体" w:hAnsi="宋体" w:eastAsia="宋体"/>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tcPr>
          <w:p>
            <w:pPr>
              <w:jc w:val="center"/>
              <w:rPr>
                <w:rFonts w:ascii="宋体" w:hAnsi="宋体" w:eastAsia="宋体"/>
                <w:szCs w:val="21"/>
              </w:rPr>
            </w:pPr>
            <w:r>
              <w:rPr>
                <w:rFonts w:hint="eastAsia" w:ascii="宋体" w:hAnsi="宋体" w:eastAsia="宋体"/>
                <w:szCs w:val="21"/>
              </w:rPr>
              <w:t>8</w:t>
            </w:r>
          </w:p>
        </w:tc>
        <w:tc>
          <w:tcPr>
            <w:tcW w:w="1743"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讲台</w:t>
            </w:r>
          </w:p>
        </w:tc>
        <w:tc>
          <w:tcPr>
            <w:tcW w:w="4211" w:type="dxa"/>
            <w:vAlign w:val="center"/>
          </w:tcPr>
          <w:p>
            <w:pPr>
              <w:tabs>
                <w:tab w:val="left" w:pos="1080"/>
              </w:tabs>
              <w:adjustRightInd w:val="0"/>
              <w:spacing w:line="40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教师用，满足正常教学需求</w:t>
            </w:r>
          </w:p>
        </w:tc>
        <w:tc>
          <w:tcPr>
            <w:tcW w:w="709" w:type="dxa"/>
          </w:tcPr>
          <w:p>
            <w:pPr>
              <w:jc w:val="center"/>
              <w:rPr>
                <w:rFonts w:ascii="宋体" w:hAnsi="宋体" w:eastAsia="宋体"/>
                <w:szCs w:val="21"/>
              </w:rPr>
            </w:pPr>
          </w:p>
        </w:tc>
        <w:tc>
          <w:tcPr>
            <w:tcW w:w="1184" w:type="dxa"/>
          </w:tcPr>
          <w:p>
            <w:pPr>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tcPr>
          <w:p>
            <w:pPr>
              <w:jc w:val="center"/>
              <w:rPr>
                <w:rFonts w:ascii="宋体" w:hAnsi="宋体" w:eastAsia="宋体"/>
                <w:szCs w:val="21"/>
              </w:rPr>
            </w:pPr>
            <w:r>
              <w:rPr>
                <w:rFonts w:hint="eastAsia" w:ascii="宋体" w:hAnsi="宋体" w:eastAsia="宋体"/>
                <w:szCs w:val="21"/>
              </w:rPr>
              <w:t>9</w:t>
            </w:r>
          </w:p>
        </w:tc>
        <w:tc>
          <w:tcPr>
            <w:tcW w:w="1743"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存储柜</w:t>
            </w:r>
          </w:p>
        </w:tc>
        <w:tc>
          <w:tcPr>
            <w:tcW w:w="4211" w:type="dxa"/>
            <w:vAlign w:val="center"/>
          </w:tcPr>
          <w:p>
            <w:pPr>
              <w:tabs>
                <w:tab w:val="left" w:pos="1080"/>
              </w:tabs>
              <w:adjustRightInd w:val="0"/>
              <w:spacing w:line="40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存储柜数量满足实际器材数量的存放</w:t>
            </w:r>
          </w:p>
        </w:tc>
        <w:tc>
          <w:tcPr>
            <w:tcW w:w="709" w:type="dxa"/>
          </w:tcPr>
          <w:p>
            <w:pPr>
              <w:jc w:val="center"/>
              <w:rPr>
                <w:rFonts w:ascii="宋体" w:hAnsi="宋体" w:eastAsia="宋体"/>
                <w:szCs w:val="21"/>
              </w:rPr>
            </w:pPr>
            <w:r>
              <w:rPr>
                <w:rFonts w:hint="eastAsia" w:ascii="宋体" w:hAnsi="宋体" w:eastAsia="宋体"/>
                <w:szCs w:val="21"/>
              </w:rPr>
              <w:t>个</w:t>
            </w:r>
          </w:p>
        </w:tc>
        <w:tc>
          <w:tcPr>
            <w:tcW w:w="1184" w:type="dxa"/>
          </w:tcPr>
          <w:p>
            <w:pPr>
              <w:jc w:val="center"/>
              <w:rPr>
                <w:rFonts w:ascii="宋体" w:hAnsi="宋体" w:eastAsia="宋体"/>
                <w:szCs w:val="21"/>
              </w:rPr>
            </w:pPr>
            <w:r>
              <w:rPr>
                <w:rFonts w:ascii="宋体" w:hAnsi="宋体" w:eastAsia="宋体"/>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tcPr>
          <w:p>
            <w:pPr>
              <w:rPr>
                <w:rFonts w:ascii="宋体" w:hAnsi="宋体" w:eastAsia="宋体"/>
                <w:szCs w:val="21"/>
              </w:rPr>
            </w:pPr>
            <w:r>
              <w:rPr>
                <w:rFonts w:hint="eastAsia" w:ascii="宋体" w:hAnsi="宋体" w:eastAsia="宋体"/>
                <w:b/>
                <w:szCs w:val="21"/>
              </w:rPr>
              <w:t>五、教材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tcPr>
          <w:p>
            <w:pPr>
              <w:jc w:val="center"/>
              <w:rPr>
                <w:rFonts w:ascii="宋体" w:hAnsi="宋体" w:eastAsia="宋体"/>
                <w:szCs w:val="21"/>
              </w:rPr>
            </w:pPr>
            <w:r>
              <w:rPr>
                <w:rFonts w:hint="eastAsia" w:ascii="宋体" w:hAnsi="宋体" w:eastAsia="宋体"/>
                <w:szCs w:val="21"/>
              </w:rPr>
              <w:t>10</w:t>
            </w:r>
          </w:p>
        </w:tc>
        <w:tc>
          <w:tcPr>
            <w:tcW w:w="1743"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教材</w:t>
            </w:r>
          </w:p>
        </w:tc>
        <w:tc>
          <w:tcPr>
            <w:tcW w:w="4211" w:type="dxa"/>
            <w:vAlign w:val="center"/>
          </w:tcPr>
          <w:p>
            <w:pPr>
              <w:tabs>
                <w:tab w:val="left" w:pos="1080"/>
              </w:tabs>
              <w:adjustRightInd w:val="0"/>
              <w:spacing w:line="40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满足教学需求</w:t>
            </w:r>
          </w:p>
        </w:tc>
        <w:tc>
          <w:tcPr>
            <w:tcW w:w="709" w:type="dxa"/>
          </w:tcPr>
          <w:p>
            <w:pPr>
              <w:jc w:val="center"/>
              <w:rPr>
                <w:rFonts w:ascii="宋体" w:hAnsi="宋体" w:eastAsia="宋体"/>
                <w:szCs w:val="21"/>
              </w:rPr>
            </w:pPr>
            <w:r>
              <w:rPr>
                <w:rFonts w:hint="eastAsia" w:ascii="宋体" w:hAnsi="宋体" w:eastAsia="宋体" w:cs="宋体"/>
                <w:color w:val="000000"/>
                <w:kern w:val="0"/>
                <w:szCs w:val="21"/>
              </w:rPr>
              <w:t>本</w:t>
            </w:r>
          </w:p>
        </w:tc>
        <w:tc>
          <w:tcPr>
            <w:tcW w:w="1184" w:type="dxa"/>
          </w:tcPr>
          <w:p>
            <w:pPr>
              <w:jc w:val="center"/>
              <w:rPr>
                <w:rFonts w:ascii="宋体" w:hAnsi="宋体" w:eastAsia="宋体"/>
                <w:szCs w:val="21"/>
              </w:rPr>
            </w:pPr>
            <w:r>
              <w:rPr>
                <w:rFonts w:hint="eastAsia" w:ascii="宋体" w:hAnsi="宋体" w:eastAsia="宋体" w:cs="宋体"/>
                <w:color w:val="000000"/>
                <w:kern w:val="0"/>
                <w:szCs w:val="21"/>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tcPr>
          <w:p>
            <w:pPr>
              <w:rPr>
                <w:rFonts w:ascii="宋体" w:hAnsi="宋体" w:eastAsia="宋体" w:cs="宋体"/>
                <w:color w:val="000000"/>
                <w:kern w:val="0"/>
                <w:szCs w:val="21"/>
              </w:rPr>
            </w:pPr>
            <w:r>
              <w:rPr>
                <w:rFonts w:hint="eastAsia" w:ascii="宋体" w:hAnsi="宋体" w:eastAsia="宋体"/>
                <w:b/>
                <w:szCs w:val="21"/>
              </w:rPr>
              <w:t>六、环境建设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11</w:t>
            </w:r>
          </w:p>
        </w:tc>
        <w:tc>
          <w:tcPr>
            <w:tcW w:w="1743"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挂图灯箱</w:t>
            </w:r>
          </w:p>
        </w:tc>
        <w:tc>
          <w:tcPr>
            <w:tcW w:w="4211" w:type="dxa"/>
            <w:vAlign w:val="center"/>
          </w:tcPr>
          <w:p>
            <w:pPr>
              <w:tabs>
                <w:tab w:val="left" w:pos="1080"/>
              </w:tabs>
              <w:adjustRightInd w:val="0"/>
              <w:spacing w:line="400" w:lineRule="exact"/>
              <w:rPr>
                <w:rFonts w:ascii="宋体" w:hAnsi="宋体" w:eastAsia="宋体" w:cs="宋体"/>
                <w:color w:val="000000"/>
                <w:kern w:val="0"/>
                <w:szCs w:val="21"/>
              </w:rPr>
            </w:pPr>
            <w:r>
              <w:rPr>
                <w:rFonts w:hint="eastAsia" w:ascii="宋体" w:hAnsi="宋体" w:eastAsia="宋体" w:cs="宋体"/>
                <w:color w:val="000000"/>
                <w:kern w:val="0"/>
                <w:szCs w:val="21"/>
              </w:rPr>
              <w:t>铝合金成型灯箱，图片可替换式，Led光源</w:t>
            </w:r>
          </w:p>
        </w:tc>
        <w:tc>
          <w:tcPr>
            <w:tcW w:w="709"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个</w:t>
            </w:r>
          </w:p>
        </w:tc>
        <w:tc>
          <w:tcPr>
            <w:tcW w:w="1184"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1743"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挂图灯箱片</w:t>
            </w:r>
          </w:p>
        </w:tc>
        <w:tc>
          <w:tcPr>
            <w:tcW w:w="4211" w:type="dxa"/>
            <w:vAlign w:val="center"/>
          </w:tcPr>
          <w:p>
            <w:pPr>
              <w:tabs>
                <w:tab w:val="left" w:pos="1080"/>
              </w:tabs>
              <w:adjustRightInd w:val="0"/>
              <w:spacing w:line="400" w:lineRule="exact"/>
              <w:rPr>
                <w:rFonts w:ascii="宋体" w:hAnsi="宋体" w:eastAsia="宋体" w:cs="宋体"/>
                <w:color w:val="000000"/>
                <w:kern w:val="0"/>
                <w:szCs w:val="21"/>
              </w:rPr>
            </w:pPr>
            <w:r>
              <w:rPr>
                <w:rFonts w:hint="eastAsia" w:ascii="宋体" w:hAnsi="宋体" w:eastAsia="宋体" w:cs="宋体"/>
                <w:color w:val="000000"/>
                <w:kern w:val="0"/>
                <w:szCs w:val="21"/>
              </w:rPr>
              <w:t>地理</w:t>
            </w:r>
            <w:r>
              <w:rPr>
                <w:rFonts w:ascii="宋体" w:hAnsi="宋体" w:eastAsia="宋体" w:cs="宋体"/>
                <w:color w:val="000000"/>
                <w:kern w:val="0"/>
                <w:szCs w:val="21"/>
              </w:rPr>
              <w:t>学科相关</w:t>
            </w:r>
            <w:r>
              <w:rPr>
                <w:rFonts w:hint="eastAsia" w:ascii="宋体" w:hAnsi="宋体" w:eastAsia="宋体" w:cs="宋体"/>
                <w:color w:val="000000"/>
                <w:kern w:val="0"/>
                <w:szCs w:val="21"/>
              </w:rPr>
              <w:t>灯箱片， 1440dpi高清晰度，覆亮膜</w:t>
            </w:r>
          </w:p>
        </w:tc>
        <w:tc>
          <w:tcPr>
            <w:tcW w:w="709"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张</w:t>
            </w:r>
          </w:p>
        </w:tc>
        <w:tc>
          <w:tcPr>
            <w:tcW w:w="1184"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13</w:t>
            </w:r>
          </w:p>
        </w:tc>
        <w:tc>
          <w:tcPr>
            <w:tcW w:w="1743"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知识窗帘</w:t>
            </w:r>
          </w:p>
        </w:tc>
        <w:tc>
          <w:tcPr>
            <w:tcW w:w="4211" w:type="dxa"/>
            <w:vAlign w:val="center"/>
          </w:tcPr>
          <w:p>
            <w:pPr>
              <w:tabs>
                <w:tab w:val="left" w:pos="1080"/>
              </w:tabs>
              <w:adjustRightInd w:val="0"/>
              <w:spacing w:line="400" w:lineRule="exact"/>
              <w:rPr>
                <w:rFonts w:ascii="宋体" w:hAnsi="宋体" w:eastAsia="宋体" w:cs="宋体"/>
                <w:color w:val="000000"/>
                <w:kern w:val="0"/>
                <w:szCs w:val="21"/>
              </w:rPr>
            </w:pPr>
            <w:r>
              <w:rPr>
                <w:rFonts w:hint="eastAsia" w:ascii="宋体" w:hAnsi="宋体" w:eastAsia="宋体" w:cs="宋体"/>
                <w:color w:val="000000"/>
                <w:kern w:val="0"/>
                <w:szCs w:val="21"/>
              </w:rPr>
              <w:t>卷帘式，印制介绍中国和世界地理气候、地理知识等内容</w:t>
            </w:r>
          </w:p>
        </w:tc>
        <w:tc>
          <w:tcPr>
            <w:tcW w:w="709"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个</w:t>
            </w:r>
          </w:p>
        </w:tc>
        <w:tc>
          <w:tcPr>
            <w:tcW w:w="1184"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14</w:t>
            </w:r>
          </w:p>
        </w:tc>
        <w:tc>
          <w:tcPr>
            <w:tcW w:w="1743"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知识展板</w:t>
            </w:r>
          </w:p>
        </w:tc>
        <w:tc>
          <w:tcPr>
            <w:tcW w:w="4211" w:type="dxa"/>
            <w:vAlign w:val="center"/>
          </w:tcPr>
          <w:p>
            <w:pPr>
              <w:tabs>
                <w:tab w:val="left" w:pos="1080"/>
              </w:tabs>
              <w:adjustRightInd w:val="0"/>
              <w:spacing w:line="400" w:lineRule="exact"/>
              <w:rPr>
                <w:rFonts w:ascii="宋体" w:hAnsi="宋体" w:eastAsia="宋体" w:cs="宋体"/>
                <w:color w:val="000000"/>
                <w:kern w:val="0"/>
                <w:szCs w:val="21"/>
              </w:rPr>
            </w:pPr>
            <w:r>
              <w:rPr>
                <w:rFonts w:hint="eastAsia" w:ascii="宋体" w:hAnsi="宋体" w:eastAsia="宋体" w:cs="宋体"/>
                <w:color w:val="000000"/>
                <w:kern w:val="0"/>
                <w:szCs w:val="21"/>
              </w:rPr>
              <w:t>地理图片、配边框，装饰墙面</w:t>
            </w:r>
          </w:p>
        </w:tc>
        <w:tc>
          <w:tcPr>
            <w:tcW w:w="709"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张</w:t>
            </w:r>
          </w:p>
        </w:tc>
        <w:tc>
          <w:tcPr>
            <w:tcW w:w="1184"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15</w:t>
            </w:r>
          </w:p>
        </w:tc>
        <w:tc>
          <w:tcPr>
            <w:tcW w:w="1743"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天花工程</w:t>
            </w:r>
          </w:p>
        </w:tc>
        <w:tc>
          <w:tcPr>
            <w:tcW w:w="4211" w:type="dxa"/>
            <w:vAlign w:val="center"/>
          </w:tcPr>
          <w:p>
            <w:pPr>
              <w:tabs>
                <w:tab w:val="left" w:pos="1080"/>
              </w:tabs>
              <w:adjustRightInd w:val="0"/>
              <w:spacing w:line="400" w:lineRule="exact"/>
              <w:rPr>
                <w:rFonts w:ascii="宋体" w:hAnsi="宋体" w:eastAsia="宋体" w:cs="宋体"/>
                <w:color w:val="000000"/>
                <w:kern w:val="0"/>
                <w:szCs w:val="21"/>
              </w:rPr>
            </w:pPr>
            <w:r>
              <w:rPr>
                <w:rFonts w:hint="eastAsia" w:ascii="宋体" w:hAnsi="宋体" w:eastAsia="宋体" w:cs="宋体"/>
                <w:color w:val="000000"/>
                <w:kern w:val="0"/>
                <w:szCs w:val="21"/>
              </w:rPr>
              <w:t>石膏板天花吊顶，38轻钢龙骨，12mm纸面石膏板，局部软膜灯箱</w:t>
            </w:r>
          </w:p>
        </w:tc>
        <w:tc>
          <w:tcPr>
            <w:tcW w:w="709"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平方</w:t>
            </w:r>
          </w:p>
        </w:tc>
        <w:tc>
          <w:tcPr>
            <w:tcW w:w="1184" w:type="dxa"/>
            <w:vAlign w:val="center"/>
          </w:tcPr>
          <w:p>
            <w:pPr>
              <w:jc w:val="center"/>
            </w:pPr>
            <w:r>
              <w:rPr>
                <w:rFonts w:hint="eastAsia" w:ascii="宋体" w:hAnsi="宋体" w:eastAsia="宋体" w:cs="宋体"/>
                <w:color w:val="000000"/>
                <w:kern w:val="0"/>
                <w:szCs w:val="21"/>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16</w:t>
            </w:r>
          </w:p>
        </w:tc>
        <w:tc>
          <w:tcPr>
            <w:tcW w:w="1743"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墙面工程</w:t>
            </w:r>
          </w:p>
        </w:tc>
        <w:tc>
          <w:tcPr>
            <w:tcW w:w="4211" w:type="dxa"/>
            <w:vAlign w:val="center"/>
          </w:tcPr>
          <w:p>
            <w:pPr>
              <w:tabs>
                <w:tab w:val="left" w:pos="1080"/>
              </w:tabs>
              <w:adjustRightInd w:val="0"/>
              <w:spacing w:line="400" w:lineRule="exact"/>
              <w:rPr>
                <w:rFonts w:ascii="宋体" w:hAnsi="宋体" w:eastAsia="宋体" w:cs="宋体"/>
                <w:color w:val="000000"/>
                <w:kern w:val="0"/>
                <w:szCs w:val="21"/>
              </w:rPr>
            </w:pPr>
            <w:r>
              <w:rPr>
                <w:rFonts w:hint="eastAsia" w:ascii="宋体" w:hAnsi="宋体" w:eastAsia="宋体" w:cs="宋体"/>
                <w:color w:val="000000"/>
                <w:kern w:val="0"/>
                <w:szCs w:val="21"/>
              </w:rPr>
              <w:t>墙面造型，墙面乳胶漆，饰面隔板，局部车贴喷绘或壁纸</w:t>
            </w:r>
          </w:p>
        </w:tc>
        <w:tc>
          <w:tcPr>
            <w:tcW w:w="709"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平方</w:t>
            </w:r>
          </w:p>
        </w:tc>
        <w:tc>
          <w:tcPr>
            <w:tcW w:w="1184" w:type="dxa"/>
            <w:vAlign w:val="center"/>
          </w:tcPr>
          <w:p>
            <w:pPr>
              <w:jc w:val="center"/>
            </w:pPr>
            <w:r>
              <w:rPr>
                <w:rFonts w:hint="eastAsia" w:ascii="宋体" w:hAnsi="宋体" w:eastAsia="宋体" w:cs="宋体"/>
                <w:color w:val="000000"/>
                <w:kern w:val="0"/>
                <w:szCs w:val="21"/>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17</w:t>
            </w:r>
          </w:p>
        </w:tc>
        <w:tc>
          <w:tcPr>
            <w:tcW w:w="1743"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地面工程</w:t>
            </w:r>
          </w:p>
        </w:tc>
        <w:tc>
          <w:tcPr>
            <w:tcW w:w="4211" w:type="dxa"/>
            <w:vAlign w:val="center"/>
          </w:tcPr>
          <w:p>
            <w:pPr>
              <w:tabs>
                <w:tab w:val="left" w:pos="1080"/>
              </w:tabs>
              <w:adjustRightInd w:val="0"/>
              <w:spacing w:line="400" w:lineRule="exact"/>
              <w:rPr>
                <w:rFonts w:ascii="宋体" w:hAnsi="宋体" w:eastAsia="宋体" w:cs="宋体"/>
                <w:color w:val="000000"/>
                <w:kern w:val="0"/>
                <w:szCs w:val="21"/>
              </w:rPr>
            </w:pPr>
            <w:r>
              <w:rPr>
                <w:rFonts w:hint="eastAsia" w:ascii="宋体" w:hAnsi="宋体" w:eastAsia="宋体" w:cs="宋体"/>
                <w:color w:val="000000"/>
                <w:kern w:val="0"/>
                <w:szCs w:val="21"/>
              </w:rPr>
              <w:t>地面找平处理、地胶、PVC踢脚线安装</w:t>
            </w:r>
          </w:p>
        </w:tc>
        <w:tc>
          <w:tcPr>
            <w:tcW w:w="709"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平方</w:t>
            </w:r>
          </w:p>
        </w:tc>
        <w:tc>
          <w:tcPr>
            <w:tcW w:w="1184" w:type="dxa"/>
            <w:vAlign w:val="center"/>
          </w:tcPr>
          <w:p>
            <w:pPr>
              <w:jc w:val="center"/>
            </w:pPr>
            <w:r>
              <w:rPr>
                <w:rFonts w:hint="eastAsia" w:ascii="宋体" w:hAnsi="宋体" w:eastAsia="宋体" w:cs="宋体"/>
                <w:color w:val="000000"/>
                <w:kern w:val="0"/>
                <w:szCs w:val="21"/>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18</w:t>
            </w:r>
          </w:p>
        </w:tc>
        <w:tc>
          <w:tcPr>
            <w:tcW w:w="1743"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强弱电布线工程部分</w:t>
            </w:r>
          </w:p>
        </w:tc>
        <w:tc>
          <w:tcPr>
            <w:tcW w:w="4211" w:type="dxa"/>
            <w:vAlign w:val="center"/>
          </w:tcPr>
          <w:p>
            <w:pPr>
              <w:tabs>
                <w:tab w:val="left" w:pos="1080"/>
              </w:tabs>
              <w:adjustRightInd w:val="0"/>
              <w:spacing w:line="400" w:lineRule="exact"/>
              <w:rPr>
                <w:rFonts w:ascii="宋体" w:hAnsi="宋体" w:eastAsia="宋体" w:cs="宋体"/>
                <w:color w:val="000000"/>
                <w:kern w:val="0"/>
                <w:szCs w:val="21"/>
              </w:rPr>
            </w:pPr>
            <w:r>
              <w:rPr>
                <w:rFonts w:hint="eastAsia" w:ascii="宋体" w:hAnsi="宋体" w:eastAsia="宋体" w:cs="宋体"/>
                <w:color w:val="000000"/>
                <w:kern w:val="0"/>
                <w:szCs w:val="21"/>
              </w:rPr>
              <w:t>电路改造（强弱电综合布线）、开关面板及墙地面插座、灯具、LED灯带</w:t>
            </w:r>
          </w:p>
        </w:tc>
        <w:tc>
          <w:tcPr>
            <w:tcW w:w="709"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套</w:t>
            </w:r>
          </w:p>
        </w:tc>
        <w:tc>
          <w:tcPr>
            <w:tcW w:w="1184" w:type="dxa"/>
            <w:vAlign w:val="center"/>
          </w:tcPr>
          <w:p>
            <w:pPr>
              <w:tabs>
                <w:tab w:val="left" w:pos="1080"/>
              </w:tabs>
              <w:adjustRightInd w:val="0"/>
              <w:spacing w:line="40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r>
    </w:tbl>
    <w:p>
      <w:pPr>
        <w:pStyle w:val="2"/>
        <w:spacing w:before="0" w:after="0" w:line="720" w:lineRule="auto"/>
        <w:rPr>
          <w:rFonts w:ascii="黑体" w:hAnsi="黑体" w:eastAsia="黑体"/>
          <w:sz w:val="21"/>
          <w:szCs w:val="21"/>
          <w:lang w:val="zh-CN" w:eastAsia="zh-CN"/>
        </w:rPr>
      </w:pPr>
      <w:r>
        <w:rPr>
          <w:rFonts w:hint="eastAsia" w:ascii="黑体" w:hAnsi="黑体" w:eastAsia="黑体"/>
          <w:sz w:val="21"/>
          <w:szCs w:val="21"/>
          <w:lang w:val="zh-CN" w:eastAsia="zh-CN"/>
        </w:rPr>
        <w:t>6  数字美术教室参考布局图</w:t>
      </w:r>
    </w:p>
    <w:p>
      <w:r>
        <w:rPr>
          <w:rFonts w:hint="eastAsia"/>
        </w:rPr>
        <w:drawing>
          <wp:inline distT="0" distB="0" distL="114300" distR="114300">
            <wp:extent cx="6986905" cy="5659120"/>
            <wp:effectExtent l="0" t="2857" r="1587" b="1588"/>
            <wp:docPr id="11" name="图片 11" descr="2b083fbcd193bd2019f5ece7cf399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b083fbcd193bd2019f5ece7cf3995d"/>
                    <pic:cNvPicPr>
                      <a:picLocks noChangeAspect="1"/>
                    </pic:cNvPicPr>
                  </pic:nvPicPr>
                  <pic:blipFill>
                    <a:blip r:embed="rId4"/>
                    <a:stretch>
                      <a:fillRect/>
                    </a:stretch>
                  </pic:blipFill>
                  <pic:spPr>
                    <a:xfrm rot="16200000">
                      <a:off x="0" y="0"/>
                      <a:ext cx="6991502" cy="5662930"/>
                    </a:xfrm>
                    <a:prstGeom prst="rect">
                      <a:avLst/>
                    </a:prstGeom>
                  </pic:spPr>
                </pic:pic>
              </a:graphicData>
            </a:graphic>
          </wp:inline>
        </w:drawing>
      </w:r>
    </w:p>
    <w:p/>
    <w:p/>
    <w:p>
      <w:pPr>
        <w:pStyle w:val="2"/>
        <w:numPr>
          <w:ilvl w:val="0"/>
          <w:numId w:val="2"/>
        </w:numPr>
        <w:spacing w:before="0" w:after="0" w:line="720" w:lineRule="auto"/>
        <w:ind w:left="0" w:firstLine="0"/>
        <w:rPr>
          <w:rFonts w:ascii="黑体" w:hAnsi="黑体" w:eastAsia="黑体"/>
          <w:sz w:val="21"/>
          <w:szCs w:val="21"/>
          <w:lang w:val="zh-CN" w:eastAsia="zh-CN"/>
        </w:rPr>
      </w:pPr>
      <w:r>
        <w:rPr>
          <w:rFonts w:ascii="黑体" w:hAnsi="黑体" w:eastAsia="黑体"/>
          <w:sz w:val="21"/>
          <w:szCs w:val="21"/>
          <w:lang w:val="zh-CN" w:eastAsia="zh-CN"/>
        </w:rPr>
        <w:t>管理要求</w:t>
      </w:r>
    </w:p>
    <w:p>
      <w:pPr>
        <w:pStyle w:val="3"/>
        <w:spacing w:before="0" w:after="0" w:line="480" w:lineRule="auto"/>
        <w:rPr>
          <w:rFonts w:ascii="黑体" w:hAnsi="黑体" w:eastAsia="黑体"/>
          <w:kern w:val="44"/>
          <w:sz w:val="21"/>
          <w:szCs w:val="21"/>
        </w:rPr>
      </w:pPr>
      <w:r>
        <w:rPr>
          <w:rFonts w:hint="eastAsia" w:ascii="黑体" w:hAnsi="黑体" w:eastAsia="黑体"/>
          <w:kern w:val="44"/>
          <w:sz w:val="21"/>
          <w:szCs w:val="21"/>
        </w:rPr>
        <w:t>7.1  制度建设</w:t>
      </w:r>
    </w:p>
    <w:p>
      <w:pPr>
        <w:spacing w:line="360" w:lineRule="auto"/>
        <w:ind w:firstLine="420" w:firstLineChars="200"/>
        <w:rPr>
          <w:rFonts w:ascii="宋体" w:hAnsi="宋体" w:eastAsia="宋体"/>
        </w:rPr>
      </w:pPr>
      <w:r>
        <w:rPr>
          <w:rFonts w:hint="eastAsia" w:ascii="宋体" w:hAnsi="宋体" w:eastAsia="宋体"/>
        </w:rPr>
        <w:t>教室要建立健全各项规章制度和岗位责任制。</w:t>
      </w:r>
    </w:p>
    <w:p>
      <w:pPr>
        <w:pStyle w:val="3"/>
        <w:spacing w:before="0" w:after="0" w:line="480" w:lineRule="auto"/>
        <w:rPr>
          <w:rFonts w:ascii="黑体" w:hAnsi="黑体" w:eastAsia="黑体"/>
          <w:kern w:val="44"/>
          <w:sz w:val="21"/>
          <w:szCs w:val="21"/>
        </w:rPr>
      </w:pPr>
      <w:r>
        <w:rPr>
          <w:rFonts w:hint="eastAsia" w:ascii="黑体" w:hAnsi="黑体" w:eastAsia="黑体"/>
          <w:kern w:val="44"/>
          <w:sz w:val="21"/>
          <w:szCs w:val="21"/>
        </w:rPr>
        <w:t>7.2  人员配备</w:t>
      </w:r>
    </w:p>
    <w:p>
      <w:pPr>
        <w:spacing w:line="360" w:lineRule="auto"/>
        <w:ind w:firstLine="420" w:firstLineChars="200"/>
        <w:rPr>
          <w:rFonts w:ascii="宋体" w:hAnsi="宋体" w:eastAsia="宋体"/>
        </w:rPr>
      </w:pPr>
      <w:r>
        <w:rPr>
          <w:rFonts w:hint="eastAsia" w:ascii="宋体" w:hAnsi="宋体" w:eastAsia="宋体"/>
        </w:rPr>
        <w:t>根据教学等工作任务的需要，教室应建立一支结构合理、相对稳定的队伍。包括教学教师、管理人员等。</w:t>
      </w:r>
    </w:p>
    <w:p>
      <w:pPr>
        <w:pStyle w:val="3"/>
        <w:spacing w:before="0" w:after="0" w:line="480" w:lineRule="auto"/>
        <w:rPr>
          <w:rFonts w:ascii="黑体" w:hAnsi="黑体" w:eastAsia="黑体"/>
          <w:kern w:val="44"/>
          <w:sz w:val="21"/>
          <w:szCs w:val="21"/>
        </w:rPr>
      </w:pPr>
      <w:r>
        <w:rPr>
          <w:rFonts w:hint="eastAsia" w:ascii="黑体" w:hAnsi="黑体" w:eastAsia="黑体"/>
          <w:kern w:val="44"/>
          <w:sz w:val="21"/>
          <w:szCs w:val="21"/>
        </w:rPr>
        <w:t>7.3  资产管理</w:t>
      </w:r>
    </w:p>
    <w:p>
      <w:pPr>
        <w:spacing w:line="360" w:lineRule="auto"/>
        <w:ind w:firstLine="420" w:firstLineChars="200"/>
        <w:rPr>
          <w:rFonts w:ascii="宋体" w:hAnsi="宋体" w:eastAsia="宋体"/>
        </w:rPr>
      </w:pPr>
      <w:r>
        <w:rPr>
          <w:rFonts w:hint="eastAsia" w:ascii="宋体" w:hAnsi="宋体" w:eastAsia="宋体"/>
        </w:rPr>
        <w:t>设备采购和报废，必须建立登记和报废注销手续。设备损坏或丢失应查明原因，分清责任事故和非责任事故，经审核后，按学校有关管理规定办理报损、报废、报失和赔偿手续。</w:t>
      </w:r>
    </w:p>
    <w:p>
      <w:pPr>
        <w:pStyle w:val="3"/>
        <w:spacing w:before="0" w:after="0" w:line="480" w:lineRule="auto"/>
        <w:rPr>
          <w:rFonts w:ascii="黑体" w:hAnsi="黑体" w:eastAsia="黑体"/>
          <w:b w:val="0"/>
          <w:szCs w:val="21"/>
        </w:rPr>
      </w:pPr>
      <w:r>
        <w:rPr>
          <w:rFonts w:hint="eastAsia" w:ascii="黑体" w:hAnsi="黑体" w:eastAsia="黑体"/>
          <w:kern w:val="44"/>
          <w:sz w:val="21"/>
          <w:szCs w:val="21"/>
        </w:rPr>
        <w:t>7.4  档案管理</w:t>
      </w:r>
    </w:p>
    <w:p>
      <w:pPr>
        <w:spacing w:line="360" w:lineRule="auto"/>
        <w:ind w:firstLine="420" w:firstLineChars="200"/>
        <w:rPr>
          <w:rFonts w:ascii="宋体" w:hAnsi="宋体" w:eastAsia="宋体"/>
        </w:rPr>
      </w:pPr>
      <w:r>
        <w:rPr>
          <w:rFonts w:hint="eastAsia" w:ascii="宋体" w:hAnsi="宋体" w:eastAsia="宋体"/>
        </w:rPr>
        <w:t>力求设备的技术档案和原始记录齐全，包括设备的技术资料、安装调试、验收、使用交接记录、损坏故障及维修养护记录等。</w:t>
      </w:r>
    </w:p>
    <w:p>
      <w:pPr>
        <w:pStyle w:val="3"/>
        <w:spacing w:before="0" w:after="0" w:line="480" w:lineRule="auto"/>
        <w:rPr>
          <w:rFonts w:ascii="黑体" w:hAnsi="黑体" w:eastAsia="黑体"/>
          <w:kern w:val="44"/>
          <w:sz w:val="21"/>
          <w:szCs w:val="21"/>
        </w:rPr>
      </w:pPr>
      <w:r>
        <w:rPr>
          <w:rFonts w:hint="eastAsia" w:ascii="黑体" w:hAnsi="黑体" w:eastAsia="黑体"/>
          <w:kern w:val="44"/>
          <w:sz w:val="21"/>
          <w:szCs w:val="21"/>
        </w:rPr>
        <w:t xml:space="preserve">7.5 </w:t>
      </w:r>
      <w:r>
        <w:rPr>
          <w:rFonts w:ascii="黑体" w:hAnsi="黑体" w:eastAsia="黑体"/>
          <w:kern w:val="44"/>
          <w:sz w:val="21"/>
          <w:szCs w:val="21"/>
        </w:rPr>
        <w:t xml:space="preserve"> </w:t>
      </w:r>
      <w:r>
        <w:rPr>
          <w:rFonts w:hint="eastAsia" w:ascii="黑体" w:hAnsi="黑体" w:eastAsia="黑体"/>
          <w:kern w:val="44"/>
          <w:sz w:val="21"/>
          <w:szCs w:val="21"/>
        </w:rPr>
        <w:t>系统维护</w:t>
      </w:r>
    </w:p>
    <w:p>
      <w:pPr>
        <w:spacing w:line="360" w:lineRule="auto"/>
        <w:ind w:firstLine="420" w:firstLineChars="200"/>
        <w:rPr>
          <w:rFonts w:ascii="宋体" w:hAnsi="宋体" w:eastAsia="宋体"/>
        </w:rPr>
      </w:pPr>
      <w:r>
        <w:rPr>
          <w:rFonts w:hint="eastAsia" w:ascii="宋体" w:hAnsi="宋体" w:eastAsia="宋体"/>
        </w:rPr>
        <w:t>做好设备的维护、防尘、防潮、防盗等安全工作，提高设备的利用率和完好率。</w:t>
      </w:r>
    </w:p>
    <w:p>
      <w:pPr>
        <w:spacing w:line="360" w:lineRule="auto"/>
        <w:rPr>
          <w:szCs w:val="21"/>
        </w:rPr>
      </w:pPr>
    </w:p>
    <w:p>
      <w:pPr>
        <w:rPr>
          <w:rFonts w:ascii="宋体" w:hAnsi="宋体" w:eastAsia="宋体"/>
        </w:rPr>
      </w:pPr>
    </w:p>
    <w:sectPr>
      <w:pgSz w:w="11906" w:h="16838"/>
      <w:pgMar w:top="1440" w:right="1800" w:bottom="1803"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63AF2"/>
    <w:multiLevelType w:val="multilevel"/>
    <w:tmpl w:val="02563AF2"/>
    <w:lvl w:ilvl="0" w:tentative="0">
      <w:start w:val="1"/>
      <w:numFmt w:val="decimal"/>
      <w:lvlText w:val="%1"/>
      <w:lvlJc w:val="left"/>
      <w:pPr>
        <w:ind w:left="405" w:hanging="40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76074FF"/>
    <w:multiLevelType w:val="multilevel"/>
    <w:tmpl w:val="476074FF"/>
    <w:lvl w:ilvl="0" w:tentative="0">
      <w:start w:val="7"/>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9A0"/>
    <w:rsid w:val="00005BD8"/>
    <w:rsid w:val="00016BB7"/>
    <w:rsid w:val="0004653F"/>
    <w:rsid w:val="0004699C"/>
    <w:rsid w:val="000826FC"/>
    <w:rsid w:val="000851E8"/>
    <w:rsid w:val="000D1899"/>
    <w:rsid w:val="001071E1"/>
    <w:rsid w:val="001C07C8"/>
    <w:rsid w:val="00220432"/>
    <w:rsid w:val="002B54F2"/>
    <w:rsid w:val="00303A52"/>
    <w:rsid w:val="0032597A"/>
    <w:rsid w:val="00327009"/>
    <w:rsid w:val="003B69AA"/>
    <w:rsid w:val="003D37FC"/>
    <w:rsid w:val="00456976"/>
    <w:rsid w:val="004A2E8D"/>
    <w:rsid w:val="00550646"/>
    <w:rsid w:val="00590C22"/>
    <w:rsid w:val="005D2704"/>
    <w:rsid w:val="005E2C6B"/>
    <w:rsid w:val="00640CBB"/>
    <w:rsid w:val="0064609D"/>
    <w:rsid w:val="006B4AAC"/>
    <w:rsid w:val="006D3D39"/>
    <w:rsid w:val="006F2C87"/>
    <w:rsid w:val="00722E16"/>
    <w:rsid w:val="00740A8C"/>
    <w:rsid w:val="007439A7"/>
    <w:rsid w:val="007D3C9C"/>
    <w:rsid w:val="007E3808"/>
    <w:rsid w:val="008646FF"/>
    <w:rsid w:val="008A0879"/>
    <w:rsid w:val="008D5427"/>
    <w:rsid w:val="008F6464"/>
    <w:rsid w:val="00923F1A"/>
    <w:rsid w:val="009623BD"/>
    <w:rsid w:val="00980CDB"/>
    <w:rsid w:val="009C478C"/>
    <w:rsid w:val="009C77FA"/>
    <w:rsid w:val="00A8117C"/>
    <w:rsid w:val="00B00564"/>
    <w:rsid w:val="00B5311B"/>
    <w:rsid w:val="00B54471"/>
    <w:rsid w:val="00B66F3A"/>
    <w:rsid w:val="00BB2445"/>
    <w:rsid w:val="00C1226E"/>
    <w:rsid w:val="00C1431B"/>
    <w:rsid w:val="00CB489D"/>
    <w:rsid w:val="00D01B5D"/>
    <w:rsid w:val="00D400CA"/>
    <w:rsid w:val="00D9197C"/>
    <w:rsid w:val="00DF09A0"/>
    <w:rsid w:val="00E45677"/>
    <w:rsid w:val="00E51BFD"/>
    <w:rsid w:val="00E52CBF"/>
    <w:rsid w:val="00E8214A"/>
    <w:rsid w:val="00EA25A2"/>
    <w:rsid w:val="00EF6527"/>
    <w:rsid w:val="00F03AB9"/>
    <w:rsid w:val="00FB0266"/>
    <w:rsid w:val="00FF7582"/>
    <w:rsid w:val="0481338E"/>
    <w:rsid w:val="09BC35A9"/>
    <w:rsid w:val="45591EC7"/>
    <w:rsid w:val="49ED42F5"/>
    <w:rsid w:val="4BCA2E40"/>
    <w:rsid w:val="55B761C7"/>
    <w:rsid w:val="58E01F04"/>
    <w:rsid w:val="59BF4770"/>
    <w:rsid w:val="6D9C7D17"/>
    <w:rsid w:val="741F0D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15"/>
    <w:unhideWhenUsed/>
    <w:qFormat/>
    <w:uiPriority w:val="9"/>
    <w:pPr>
      <w:keepNext/>
      <w:keepLines/>
      <w:spacing w:before="260" w:after="260" w:line="416" w:lineRule="auto"/>
      <w:outlineLvl w:val="1"/>
    </w:pPr>
    <w:rPr>
      <w:rFonts w:ascii="Cambria" w:hAnsi="Cambria"/>
      <w:b/>
      <w:bCs/>
      <w:kern w:val="0"/>
      <w:sz w:val="32"/>
      <w:szCs w:val="32"/>
    </w:rPr>
  </w:style>
  <w:style w:type="character" w:default="1" w:styleId="7">
    <w:name w:val="Default Paragraph Font"/>
    <w:semiHidden/>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4">
    <w:name w:val="Balloon Text"/>
    <w:basedOn w:val="1"/>
    <w:link w:val="13"/>
    <w:semiHidden/>
    <w:unhideWhenUsed/>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页眉 Char"/>
    <w:basedOn w:val="7"/>
    <w:link w:val="6"/>
    <w:qFormat/>
    <w:uiPriority w:val="99"/>
    <w:rPr>
      <w:sz w:val="18"/>
      <w:szCs w:val="18"/>
    </w:rPr>
  </w:style>
  <w:style w:type="character" w:customStyle="1" w:styleId="11">
    <w:name w:val="页脚 Char"/>
    <w:basedOn w:val="7"/>
    <w:link w:val="5"/>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批注框文本 Char"/>
    <w:basedOn w:val="7"/>
    <w:link w:val="4"/>
    <w:semiHidden/>
    <w:qFormat/>
    <w:uiPriority w:val="99"/>
    <w:rPr>
      <w:rFonts w:asciiTheme="minorHAnsi" w:hAnsiTheme="minorHAnsi" w:eastAsiaTheme="minorEastAsia" w:cstheme="minorBidi"/>
      <w:kern w:val="2"/>
      <w:sz w:val="18"/>
      <w:szCs w:val="18"/>
    </w:rPr>
  </w:style>
  <w:style w:type="character" w:customStyle="1" w:styleId="14">
    <w:name w:val="标题 1 Char"/>
    <w:basedOn w:val="7"/>
    <w:link w:val="2"/>
    <w:qFormat/>
    <w:uiPriority w:val="9"/>
    <w:rPr>
      <w:b/>
      <w:bCs/>
      <w:kern w:val="44"/>
      <w:sz w:val="44"/>
      <w:szCs w:val="44"/>
    </w:rPr>
  </w:style>
  <w:style w:type="character" w:customStyle="1" w:styleId="15">
    <w:name w:val="标题 2 Char"/>
    <w:link w:val="3"/>
    <w:qFormat/>
    <w:uiPriority w:val="9"/>
    <w:rPr>
      <w:rFonts w:ascii="Cambria" w:hAnsi="Cambria" w:eastAsiaTheme="minorEastAsia" w:cstheme="minorBidi"/>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343</Words>
  <Characters>1959</Characters>
  <Lines>16</Lines>
  <Paragraphs>4</Paragraphs>
  <TotalTime>131</TotalTime>
  <ScaleCrop>false</ScaleCrop>
  <LinksUpToDate>false</LinksUpToDate>
  <CharactersWithSpaces>2298</CharactersWithSpaces>
  <Application>WPS Office_11.1.0.8306_F1E327BC-269C-435d-A152-05C5408002CA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2018-08-22T02:49:00Z</dcterms:created>
  <dc:creator>徐 昊</dc:creator>
  <cp:lastModifiedBy>禹</cp:lastModifiedBy>
  <dcterms:modified xsi:type="dcterms:W3CDTF">2018-12-26T02:28:05Z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2052-11.1.0.8306</vt:lpwstr>
  </property>
</Properties>
</file>